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62C49AE" w14:textId="77777777" w:rsidR="002431CC" w:rsidRPr="00CA3271" w:rsidRDefault="002431CC" w:rsidP="00A5621C">
      <w:pPr>
        <w:spacing w:after="0"/>
        <w:jc w:val="center"/>
        <w:rPr>
          <w:rFonts w:ascii="Nunito" w:eastAsia="Times New Roman" w:hAnsi="Nunito" w:cstheme="majorBidi"/>
          <w:b/>
          <w:bCs/>
          <w:color w:val="002060"/>
          <w:sz w:val="40"/>
          <w:szCs w:val="40"/>
        </w:rPr>
      </w:pPr>
      <w:bookmarkStart w:id="0" w:name="_Hlk194618850"/>
      <w:bookmarkStart w:id="1" w:name="_Toc194555404"/>
      <w:bookmarkStart w:id="2" w:name="_Toc186558562"/>
      <w:bookmarkEnd w:id="0"/>
      <w:r w:rsidRPr="00CA3271">
        <w:rPr>
          <w:rFonts w:ascii="Nunito" w:eastAsia="Times New Roman" w:hAnsi="Nunito" w:cstheme="majorBidi"/>
          <w:b/>
          <w:bCs/>
          <w:color w:val="002060"/>
          <w:sz w:val="40"/>
          <w:szCs w:val="40"/>
        </w:rPr>
        <w:t xml:space="preserve">ANEXO 4 </w:t>
      </w:r>
    </w:p>
    <w:p w14:paraId="2C1377F9" w14:textId="77777777" w:rsidR="002431CC" w:rsidRPr="00CA3271" w:rsidRDefault="002431CC" w:rsidP="00A5621C">
      <w:pPr>
        <w:spacing w:after="0"/>
        <w:jc w:val="center"/>
        <w:rPr>
          <w:rFonts w:ascii="Nunito" w:eastAsia="Times New Roman" w:hAnsi="Nunito" w:cstheme="majorBidi"/>
          <w:b/>
          <w:bCs/>
          <w:color w:val="002060"/>
          <w:sz w:val="40"/>
          <w:szCs w:val="40"/>
        </w:rPr>
      </w:pPr>
      <w:r w:rsidRPr="00CA3271">
        <w:rPr>
          <w:rFonts w:ascii="Nunito" w:eastAsia="Times New Roman" w:hAnsi="Nunito" w:cstheme="majorBidi"/>
          <w:b/>
          <w:bCs/>
          <w:color w:val="002060"/>
          <w:sz w:val="40"/>
          <w:szCs w:val="40"/>
        </w:rPr>
        <w:t>POLIDUCTO YUMBO-PASTO</w:t>
      </w:r>
    </w:p>
    <w:p w14:paraId="655EF181" w14:textId="77777777" w:rsidR="00CA3271" w:rsidRDefault="00CA3271" w:rsidP="008F6D38">
      <w:pPr>
        <w:spacing w:after="0"/>
        <w:jc w:val="both"/>
        <w:rPr>
          <w:rFonts w:ascii="Nunito" w:eastAsiaTheme="majorEastAsia" w:hAnsi="Nunito" w:cstheme="majorBidi"/>
          <w:b/>
          <w:bCs/>
          <w:color w:val="94C700"/>
          <w:sz w:val="28"/>
          <w:szCs w:val="28"/>
        </w:rPr>
      </w:pPr>
    </w:p>
    <w:p w14:paraId="2CBA5F72" w14:textId="6AAC0C40" w:rsidR="002431CC" w:rsidRPr="00CA3271" w:rsidRDefault="002431CC" w:rsidP="00A5621C">
      <w:pPr>
        <w:spacing w:after="0"/>
        <w:jc w:val="both"/>
        <w:rPr>
          <w:rFonts w:ascii="Nunito" w:eastAsiaTheme="majorEastAsia" w:hAnsi="Nunito" w:cstheme="majorBidi"/>
          <w:b/>
          <w:bCs/>
          <w:color w:val="94C700"/>
          <w:sz w:val="28"/>
          <w:szCs w:val="28"/>
        </w:rPr>
      </w:pPr>
      <w:r w:rsidRPr="00CA3271">
        <w:rPr>
          <w:rFonts w:ascii="Nunito" w:eastAsiaTheme="majorEastAsia" w:hAnsi="Nunito" w:cstheme="majorBidi"/>
          <w:b/>
          <w:bCs/>
          <w:color w:val="94C700"/>
          <w:sz w:val="28"/>
          <w:szCs w:val="28"/>
        </w:rPr>
        <w:t>1. Antecedentes normativos</w:t>
      </w:r>
    </w:p>
    <w:p w14:paraId="04EC5DE1" w14:textId="77777777" w:rsidR="002431CC" w:rsidRPr="00A5621C" w:rsidRDefault="002431CC" w:rsidP="00A5621C">
      <w:pPr>
        <w:spacing w:after="0"/>
        <w:jc w:val="both"/>
        <w:rPr>
          <w:rFonts w:ascii="Nunito" w:hAnsi="Nunito"/>
          <w:sz w:val="22"/>
          <w:szCs w:val="22"/>
        </w:rPr>
      </w:pPr>
    </w:p>
    <w:p w14:paraId="1CFD0427" w14:textId="47756FAA" w:rsidR="002431CC" w:rsidRPr="00A5621C" w:rsidRDefault="002431CC" w:rsidP="00A5621C">
      <w:pPr>
        <w:spacing w:after="0"/>
        <w:jc w:val="both"/>
        <w:rPr>
          <w:rFonts w:ascii="Nunito" w:hAnsi="Nunito"/>
          <w:sz w:val="22"/>
          <w:szCs w:val="22"/>
        </w:rPr>
      </w:pPr>
      <w:r w:rsidRPr="00A5621C">
        <w:rPr>
          <w:rFonts w:ascii="Nunito" w:hAnsi="Nunito"/>
          <w:sz w:val="22"/>
          <w:szCs w:val="22"/>
        </w:rPr>
        <w:t>El primer antecedente relacionado con la infraestructura de transporte para el abastecimiento de hidrocarburos en el tramo Yumbo-Pasto</w:t>
      </w:r>
      <w:r w:rsidRPr="00A5621C">
        <w:rPr>
          <w:rStyle w:val="FootnoteReference"/>
          <w:rFonts w:ascii="Nunito" w:hAnsi="Nunito"/>
          <w:sz w:val="22"/>
          <w:szCs w:val="22"/>
        </w:rPr>
        <w:footnoteReference w:id="1"/>
      </w:r>
      <w:r w:rsidRPr="00A5621C">
        <w:rPr>
          <w:rFonts w:ascii="Nunito" w:hAnsi="Nunito"/>
          <w:sz w:val="22"/>
          <w:szCs w:val="22"/>
        </w:rPr>
        <w:t xml:space="preserve"> se remonta al Plan de Desarrollo 1994-1998 y la Ley 188 de 1995, donde se priorizó la inversión del Poliducto del Pacífico, que se extendería hasta los Departamentos de Cauca y Nariño, incluyendo la ciudad de Pasto</w:t>
      </w:r>
      <w:r w:rsidRPr="00A5621C">
        <w:rPr>
          <w:rFonts w:ascii="Nunito" w:hAnsi="Nunito"/>
          <w:sz w:val="22"/>
          <w:szCs w:val="22"/>
          <w:vertAlign w:val="superscript"/>
        </w:rPr>
        <w:footnoteReference w:id="2"/>
      </w:r>
      <w:r w:rsidRPr="00A5621C">
        <w:rPr>
          <w:rFonts w:ascii="Nunito" w:hAnsi="Nunito"/>
          <w:sz w:val="22"/>
          <w:szCs w:val="22"/>
        </w:rPr>
        <w:t xml:space="preserve">. Sin embargo, previo a la construcción del poliducto y, hasta que se ejecutara dicho proyecto, el artículo 55 de la Ley 191 de 1995, dispuso que </w:t>
      </w:r>
      <w:r w:rsidRPr="00A5621C">
        <w:rPr>
          <w:rFonts w:ascii="Nunito" w:hAnsi="Nunito"/>
          <w:i/>
          <w:sz w:val="22"/>
          <w:szCs w:val="22"/>
        </w:rPr>
        <w:t>“mientras la Nación construye la red de poliductos contemplada en el Plan Nacional de Desarrollo, Ecopetrol asumirá el costo del transporte de los combustibles derivados del petróleos entre las plantas de abasto o mayoristas y las zonas de frontera que, siendo capital de departamento tengan comunicación por carretera con dichas planta de abasto donde existiere terminal de poliducto”.</w:t>
      </w:r>
      <w:r w:rsidRPr="00A5621C">
        <w:rPr>
          <w:rStyle w:val="FootnoteReference"/>
          <w:rFonts w:ascii="Nunito" w:hAnsi="Nunito"/>
          <w:sz w:val="22"/>
          <w:szCs w:val="22"/>
        </w:rPr>
        <w:t xml:space="preserve"> </w:t>
      </w:r>
      <w:r w:rsidRPr="00A5621C">
        <w:rPr>
          <w:rStyle w:val="FootnoteReference"/>
          <w:rFonts w:ascii="Nunito" w:hAnsi="Nunito"/>
          <w:sz w:val="22"/>
          <w:szCs w:val="22"/>
        </w:rPr>
        <w:footnoteReference w:id="3"/>
      </w:r>
      <w:r w:rsidR="00EA0007" w:rsidRPr="00A5621C">
        <w:rPr>
          <w:rFonts w:ascii="Nunito" w:hAnsi="Nunito"/>
          <w:sz w:val="22"/>
          <w:szCs w:val="22"/>
        </w:rPr>
        <w:t xml:space="preserve"> </w:t>
      </w:r>
      <w:r w:rsidRPr="00A5621C">
        <w:rPr>
          <w:rFonts w:ascii="Nunito" w:hAnsi="Nunito"/>
          <w:sz w:val="22"/>
          <w:szCs w:val="22"/>
        </w:rPr>
        <w:t xml:space="preserve">Sin embargo, en 2006 </w:t>
      </w:r>
      <w:r w:rsidR="00EA0007" w:rsidRPr="00A5621C">
        <w:rPr>
          <w:rFonts w:ascii="Nunito" w:hAnsi="Nunito"/>
          <w:sz w:val="22"/>
          <w:szCs w:val="22"/>
        </w:rPr>
        <w:t xml:space="preserve">se estableció </w:t>
      </w:r>
      <w:r w:rsidRPr="00A5621C">
        <w:rPr>
          <w:rFonts w:ascii="Nunito" w:hAnsi="Nunito"/>
          <w:sz w:val="22"/>
          <w:szCs w:val="22"/>
        </w:rPr>
        <w:t>que Ecopetrol S.A como sociedad de economía mixta, no estaría obligado a asumir cargas fiscales diferentes a las derivadas del desarrollo de su objeto social, por lo cual, las cargas fiscales señaladas serían asumidas por la Nación a partir de la vigencia 2008, de acuerdo con la Ley 1118 de 2006.</w:t>
      </w:r>
      <w:r w:rsidRPr="00A5621C">
        <w:rPr>
          <w:rStyle w:val="FootnoteReference"/>
          <w:rFonts w:ascii="Nunito" w:hAnsi="Nunito"/>
          <w:sz w:val="22"/>
          <w:szCs w:val="22"/>
        </w:rPr>
        <w:footnoteReference w:id="4"/>
      </w:r>
    </w:p>
    <w:p w14:paraId="319516A6" w14:textId="77777777" w:rsidR="002431CC" w:rsidRPr="00A5621C" w:rsidRDefault="002431CC" w:rsidP="00A5621C">
      <w:pPr>
        <w:spacing w:after="0"/>
        <w:jc w:val="both"/>
        <w:rPr>
          <w:rFonts w:ascii="Nunito" w:hAnsi="Nunito"/>
          <w:sz w:val="22"/>
          <w:szCs w:val="22"/>
        </w:rPr>
      </w:pPr>
    </w:p>
    <w:p w14:paraId="3F92A6E9" w14:textId="77777777" w:rsidR="002431CC" w:rsidRPr="00A5621C" w:rsidRDefault="002431CC" w:rsidP="008F6D38">
      <w:pPr>
        <w:spacing w:after="0"/>
        <w:jc w:val="both"/>
        <w:rPr>
          <w:rFonts w:ascii="Nunito" w:hAnsi="Nunito"/>
          <w:sz w:val="22"/>
          <w:szCs w:val="22"/>
        </w:rPr>
      </w:pPr>
      <w:r w:rsidRPr="00A5621C">
        <w:rPr>
          <w:rFonts w:ascii="Nunito" w:hAnsi="Nunito"/>
          <w:sz w:val="22"/>
          <w:szCs w:val="22"/>
        </w:rPr>
        <w:t>Posteriormente, en 2019 establece que la Nación a través del Ministerio de Minas y Energía (MME), podría reconocer el costo del transporte terrestre de los combustibles líquidos derivados del petróleo que se suministre desde las plantas de abastecimiento ubicados en el departamento de Nariño hasta la capital de dicho departamento y sus municipios.</w:t>
      </w:r>
      <w:r w:rsidRPr="00A5621C">
        <w:rPr>
          <w:rStyle w:val="FootnoteReference"/>
          <w:rFonts w:ascii="Nunito" w:hAnsi="Nunito"/>
          <w:sz w:val="22"/>
          <w:szCs w:val="22"/>
        </w:rPr>
        <w:footnoteReference w:id="5"/>
      </w:r>
      <w:r w:rsidRPr="00A5621C">
        <w:rPr>
          <w:rFonts w:ascii="Nunito" w:hAnsi="Nunito"/>
          <w:sz w:val="22"/>
          <w:szCs w:val="22"/>
        </w:rPr>
        <w:t xml:space="preserve">  Seguidamente, en 2021, se da continuidad a la aplicación del mecanismo de compensación del transporte terrestre de combustibles líquidos y se adiciona el de GLP, que tuviese lugar en el departamento de Nariño</w:t>
      </w:r>
      <w:r w:rsidRPr="00A5621C">
        <w:rPr>
          <w:rStyle w:val="FootnoteReference"/>
          <w:rFonts w:ascii="Nunito" w:hAnsi="Nunito"/>
          <w:sz w:val="22"/>
          <w:szCs w:val="22"/>
        </w:rPr>
        <w:footnoteReference w:id="6"/>
      </w:r>
      <w:r w:rsidRPr="00A5621C">
        <w:rPr>
          <w:rFonts w:ascii="Nunito" w:hAnsi="Nunito"/>
          <w:sz w:val="22"/>
          <w:szCs w:val="22"/>
        </w:rPr>
        <w:t>.</w:t>
      </w:r>
    </w:p>
    <w:p w14:paraId="493EF91A" w14:textId="77777777" w:rsidR="00EA0007" w:rsidRPr="00A5621C" w:rsidRDefault="00EA0007" w:rsidP="00A5621C">
      <w:pPr>
        <w:spacing w:after="0"/>
        <w:jc w:val="both"/>
        <w:rPr>
          <w:rFonts w:ascii="Nunito" w:hAnsi="Nunito"/>
          <w:sz w:val="22"/>
          <w:szCs w:val="22"/>
        </w:rPr>
      </w:pPr>
    </w:p>
    <w:p w14:paraId="781A12DB" w14:textId="77777777" w:rsidR="002431CC" w:rsidRPr="00A5621C" w:rsidRDefault="002431CC" w:rsidP="008F6D38">
      <w:pPr>
        <w:spacing w:after="0"/>
        <w:jc w:val="both"/>
        <w:rPr>
          <w:rFonts w:ascii="Nunito" w:hAnsi="Nunito"/>
          <w:sz w:val="22"/>
          <w:szCs w:val="22"/>
        </w:rPr>
      </w:pPr>
      <w:r w:rsidRPr="00A5621C">
        <w:rPr>
          <w:rFonts w:ascii="Nunito" w:hAnsi="Nunito"/>
          <w:sz w:val="22"/>
          <w:szCs w:val="22"/>
        </w:rPr>
        <w:t xml:space="preserve">Por tanto, el MME fue facultado para establecer la forma en que se reconocería el costo del transporte terrestre de los combustibles derivados del petróleo que se distribuyan en el </w:t>
      </w:r>
      <w:r w:rsidRPr="00A5621C">
        <w:rPr>
          <w:rFonts w:ascii="Nunito" w:hAnsi="Nunito"/>
          <w:sz w:val="22"/>
          <w:szCs w:val="22"/>
        </w:rPr>
        <w:lastRenderedPageBreak/>
        <w:t>departamento de Nariño. Para ello, la Comisión de Regulación de Energía y Gas (CREG) remitió a la Dirección de Hidrocarburos del MME el modelo y la metodología para el cálculo de transporte terrestre de combustibles líquidos del mercado nacional. Para GLP, se estableció que la UPME estaría a cargo de la expedición de la metodología y el MME liquidaría el valor final a compensar</w:t>
      </w:r>
      <w:r w:rsidRPr="00A5621C">
        <w:rPr>
          <w:rStyle w:val="FootnoteReference"/>
          <w:rFonts w:ascii="Nunito" w:hAnsi="Nunito"/>
          <w:sz w:val="22"/>
          <w:szCs w:val="22"/>
        </w:rPr>
        <w:footnoteReference w:id="7"/>
      </w:r>
      <w:r w:rsidRPr="00A5621C">
        <w:rPr>
          <w:rFonts w:ascii="Nunito" w:hAnsi="Nunito"/>
          <w:sz w:val="22"/>
          <w:szCs w:val="22"/>
        </w:rPr>
        <w:t>, configurándose la siguiente estructura administrativa para la liquidación de compensación del costo de transporte terrestre de los combustibles derivados del petróleo que se distribuirán en el departamento de Nariño a condición de la no existencia del poliducto Yumbo-Pasto.</w:t>
      </w:r>
    </w:p>
    <w:p w14:paraId="614C563F" w14:textId="77777777" w:rsidR="00EA0007" w:rsidRPr="00A5621C" w:rsidRDefault="00EA0007" w:rsidP="00A5621C">
      <w:pPr>
        <w:spacing w:after="0"/>
        <w:jc w:val="both"/>
        <w:rPr>
          <w:rFonts w:ascii="Nunito" w:hAnsi="Nunito"/>
          <w:sz w:val="22"/>
          <w:szCs w:val="22"/>
        </w:rPr>
      </w:pPr>
    </w:p>
    <w:tbl>
      <w:tblPr>
        <w:tblW w:w="6600" w:type="dxa"/>
        <w:jc w:val="center"/>
        <w:tblCellMar>
          <w:left w:w="70" w:type="dxa"/>
          <w:right w:w="70" w:type="dxa"/>
        </w:tblCellMar>
        <w:tblLook w:val="04A0" w:firstRow="1" w:lastRow="0" w:firstColumn="1" w:lastColumn="0" w:noHBand="0" w:noVBand="1"/>
      </w:tblPr>
      <w:tblGrid>
        <w:gridCol w:w="2200"/>
        <w:gridCol w:w="2500"/>
        <w:gridCol w:w="1900"/>
      </w:tblGrid>
      <w:tr w:rsidR="00C160D1" w:rsidRPr="00B123BF" w14:paraId="42718FEC" w14:textId="77777777" w:rsidTr="00A5621C">
        <w:trPr>
          <w:trHeight w:hRule="exact" w:val="330"/>
          <w:jc w:val="center"/>
        </w:trPr>
        <w:tc>
          <w:tcPr>
            <w:tcW w:w="2200" w:type="dxa"/>
            <w:tcBorders>
              <w:top w:val="nil"/>
              <w:left w:val="nil"/>
              <w:bottom w:val="nil"/>
              <w:right w:val="nil"/>
            </w:tcBorders>
            <w:shd w:val="clear" w:color="auto" w:fill="auto"/>
            <w:noWrap/>
            <w:vAlign w:val="center"/>
            <w:hideMark/>
          </w:tcPr>
          <w:p w14:paraId="4A99C5F0" w14:textId="0C0FD592" w:rsidR="00C160D1" w:rsidRPr="00A5621C" w:rsidRDefault="002431CC" w:rsidP="00A5621C">
            <w:pPr>
              <w:spacing w:after="0" w:line="240" w:lineRule="auto"/>
              <w:jc w:val="center"/>
              <w:rPr>
                <w:rFonts w:ascii="Nunito" w:eastAsia="Times New Roman" w:hAnsi="Nunito" w:cs="Times New Roman"/>
                <w:kern w:val="0"/>
                <w:sz w:val="18"/>
                <w:szCs w:val="18"/>
                <w:lang w:val="es-CO" w:eastAsia="es-CO"/>
                <w14:ligatures w14:val="none"/>
              </w:rPr>
            </w:pPr>
            <w:r w:rsidRPr="00A5621C">
              <w:rPr>
                <w:rFonts w:ascii="Nunito" w:hAnsi="Nunito"/>
                <w:b/>
                <w:bCs/>
                <w:sz w:val="22"/>
                <w:szCs w:val="22"/>
              </w:rPr>
              <w:t>Tabla 1. Estructura administrativa para la liquidación de compensación de costo de transporte de combustibles en el departamento de</w:t>
            </w:r>
            <w:r w:rsidR="00C160D1" w:rsidRPr="00A5621C">
              <w:rPr>
                <w:rFonts w:ascii="Nunito" w:hAnsi="Nunito"/>
                <w:b/>
                <w:bCs/>
                <w:sz w:val="22"/>
                <w:szCs w:val="22"/>
              </w:rPr>
              <w:t xml:space="preserve"> Nariño </w:t>
            </w:r>
          </w:p>
        </w:tc>
        <w:tc>
          <w:tcPr>
            <w:tcW w:w="2500" w:type="dxa"/>
            <w:tcBorders>
              <w:top w:val="single" w:sz="4" w:space="0" w:color="auto"/>
              <w:left w:val="single" w:sz="4" w:space="0" w:color="auto"/>
              <w:bottom w:val="single" w:sz="4" w:space="0" w:color="auto"/>
              <w:right w:val="single" w:sz="4" w:space="0" w:color="auto"/>
            </w:tcBorders>
            <w:shd w:val="clear" w:color="000000" w:fill="E2EFDA"/>
            <w:noWrap/>
            <w:vAlign w:val="center"/>
            <w:hideMark/>
          </w:tcPr>
          <w:p w14:paraId="084B6B3F" w14:textId="77777777" w:rsidR="00C160D1" w:rsidRPr="00A5621C" w:rsidRDefault="00C160D1" w:rsidP="00C160D1">
            <w:pPr>
              <w:spacing w:after="0" w:line="240" w:lineRule="auto"/>
              <w:jc w:val="center"/>
              <w:rPr>
                <w:rFonts w:ascii="Nunito" w:eastAsia="Times New Roman" w:hAnsi="Nunito" w:cs="Calibri"/>
                <w:b/>
                <w:bCs/>
                <w:color w:val="000000"/>
                <w:kern w:val="0"/>
                <w:sz w:val="18"/>
                <w:szCs w:val="18"/>
                <w:lang w:val="es-CO" w:eastAsia="es-CO"/>
                <w14:ligatures w14:val="none"/>
              </w:rPr>
            </w:pPr>
            <w:r w:rsidRPr="00A5621C">
              <w:rPr>
                <w:rFonts w:ascii="Nunito" w:eastAsia="Times New Roman" w:hAnsi="Nunito" w:cs="Calibri"/>
                <w:b/>
                <w:bCs/>
                <w:kern w:val="0"/>
                <w:sz w:val="18"/>
                <w:szCs w:val="18"/>
                <w:lang w:eastAsia="es-CO"/>
                <w14:ligatures w14:val="none"/>
              </w:rPr>
              <w:t>Combustibles líquidos</w:t>
            </w:r>
          </w:p>
        </w:tc>
        <w:tc>
          <w:tcPr>
            <w:tcW w:w="1900" w:type="dxa"/>
            <w:tcBorders>
              <w:top w:val="single" w:sz="4" w:space="0" w:color="auto"/>
              <w:left w:val="nil"/>
              <w:bottom w:val="single" w:sz="4" w:space="0" w:color="auto"/>
              <w:right w:val="single" w:sz="4" w:space="0" w:color="auto"/>
            </w:tcBorders>
            <w:shd w:val="clear" w:color="000000" w:fill="E2EFDA"/>
            <w:noWrap/>
            <w:vAlign w:val="center"/>
            <w:hideMark/>
          </w:tcPr>
          <w:p w14:paraId="505E084F" w14:textId="77777777" w:rsidR="00C160D1" w:rsidRPr="00A5621C" w:rsidRDefault="00C160D1" w:rsidP="00C160D1">
            <w:pPr>
              <w:spacing w:after="0" w:line="240" w:lineRule="auto"/>
              <w:jc w:val="center"/>
              <w:rPr>
                <w:rFonts w:ascii="Nunito" w:eastAsia="Times New Roman" w:hAnsi="Nunito" w:cs="Calibri"/>
                <w:b/>
                <w:bCs/>
                <w:color w:val="000000"/>
                <w:kern w:val="0"/>
                <w:sz w:val="18"/>
                <w:szCs w:val="18"/>
                <w:lang w:val="es-CO" w:eastAsia="es-CO"/>
                <w14:ligatures w14:val="none"/>
              </w:rPr>
            </w:pPr>
            <w:r w:rsidRPr="00A5621C">
              <w:rPr>
                <w:rFonts w:ascii="Nunito" w:eastAsia="Times New Roman" w:hAnsi="Nunito" w:cs="Calibri"/>
                <w:b/>
                <w:bCs/>
                <w:kern w:val="0"/>
                <w:sz w:val="18"/>
                <w:szCs w:val="18"/>
                <w:lang w:eastAsia="es-CO"/>
                <w14:ligatures w14:val="none"/>
              </w:rPr>
              <w:t>GLP</w:t>
            </w:r>
          </w:p>
        </w:tc>
      </w:tr>
      <w:tr w:rsidR="00C160D1" w:rsidRPr="00B123BF" w14:paraId="5F709DED" w14:textId="77777777" w:rsidTr="00A5621C">
        <w:trPr>
          <w:trHeight w:hRule="exact" w:val="350"/>
          <w:jc w:val="center"/>
        </w:trPr>
        <w:tc>
          <w:tcPr>
            <w:tcW w:w="22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9AB26AE" w14:textId="77777777" w:rsidR="00C160D1" w:rsidRPr="00A5621C" w:rsidRDefault="00C160D1" w:rsidP="00C160D1">
            <w:pPr>
              <w:spacing w:after="0" w:line="240" w:lineRule="auto"/>
              <w:jc w:val="right"/>
              <w:rPr>
                <w:rFonts w:ascii="Nunito" w:eastAsia="Times New Roman" w:hAnsi="Nunito" w:cs="Calibri"/>
                <w:b/>
                <w:bCs/>
                <w:color w:val="000000"/>
                <w:kern w:val="0"/>
                <w:sz w:val="18"/>
                <w:szCs w:val="18"/>
                <w:lang w:val="es-CO" w:eastAsia="es-CO"/>
                <w14:ligatures w14:val="none"/>
              </w:rPr>
            </w:pPr>
            <w:r w:rsidRPr="00A5621C">
              <w:rPr>
                <w:rFonts w:ascii="Nunito" w:eastAsia="Times New Roman" w:hAnsi="Nunito" w:cs="Calibri"/>
                <w:b/>
                <w:bCs/>
                <w:color w:val="000000"/>
                <w:kern w:val="0"/>
                <w:sz w:val="18"/>
                <w:szCs w:val="18"/>
                <w:lang w:eastAsia="es-CO"/>
                <w14:ligatures w14:val="none"/>
              </w:rPr>
              <w:t>Metodología de cálculo</w:t>
            </w:r>
          </w:p>
        </w:tc>
        <w:tc>
          <w:tcPr>
            <w:tcW w:w="2500" w:type="dxa"/>
            <w:tcBorders>
              <w:top w:val="nil"/>
              <w:left w:val="nil"/>
              <w:bottom w:val="single" w:sz="4" w:space="0" w:color="auto"/>
              <w:right w:val="single" w:sz="4" w:space="0" w:color="auto"/>
            </w:tcBorders>
            <w:shd w:val="clear" w:color="auto" w:fill="auto"/>
            <w:vAlign w:val="center"/>
            <w:hideMark/>
          </w:tcPr>
          <w:p w14:paraId="55F7A1CC" w14:textId="77777777" w:rsidR="00C160D1" w:rsidRPr="00A5621C" w:rsidRDefault="00C160D1" w:rsidP="00C160D1">
            <w:pPr>
              <w:spacing w:after="0" w:line="240" w:lineRule="auto"/>
              <w:jc w:val="center"/>
              <w:rPr>
                <w:rFonts w:ascii="Nunito" w:eastAsia="Times New Roman" w:hAnsi="Nunito" w:cs="Calibri"/>
                <w:color w:val="000000"/>
                <w:kern w:val="0"/>
                <w:sz w:val="18"/>
                <w:szCs w:val="18"/>
                <w:lang w:val="es-CO" w:eastAsia="es-CO"/>
                <w14:ligatures w14:val="none"/>
              </w:rPr>
            </w:pPr>
            <w:r w:rsidRPr="00A5621C">
              <w:rPr>
                <w:rFonts w:ascii="Nunito" w:eastAsia="Times New Roman" w:hAnsi="Nunito" w:cs="Calibri"/>
                <w:color w:val="000000"/>
                <w:kern w:val="0"/>
                <w:sz w:val="18"/>
                <w:szCs w:val="18"/>
                <w:lang w:eastAsia="es-CO"/>
                <w14:ligatures w14:val="none"/>
              </w:rPr>
              <w:t>CREG</w:t>
            </w:r>
          </w:p>
        </w:tc>
        <w:tc>
          <w:tcPr>
            <w:tcW w:w="1900" w:type="dxa"/>
            <w:tcBorders>
              <w:top w:val="nil"/>
              <w:left w:val="nil"/>
              <w:bottom w:val="single" w:sz="4" w:space="0" w:color="auto"/>
              <w:right w:val="single" w:sz="4" w:space="0" w:color="auto"/>
            </w:tcBorders>
            <w:shd w:val="clear" w:color="auto" w:fill="auto"/>
            <w:vAlign w:val="center"/>
            <w:hideMark/>
          </w:tcPr>
          <w:p w14:paraId="1806FEFB" w14:textId="77777777" w:rsidR="00C160D1" w:rsidRPr="00A5621C" w:rsidRDefault="00C160D1" w:rsidP="00C160D1">
            <w:pPr>
              <w:spacing w:after="0" w:line="240" w:lineRule="auto"/>
              <w:jc w:val="center"/>
              <w:rPr>
                <w:rFonts w:ascii="Nunito" w:eastAsia="Times New Roman" w:hAnsi="Nunito" w:cs="Calibri"/>
                <w:color w:val="000000"/>
                <w:kern w:val="0"/>
                <w:sz w:val="18"/>
                <w:szCs w:val="18"/>
                <w:lang w:val="es-CO" w:eastAsia="es-CO"/>
                <w14:ligatures w14:val="none"/>
              </w:rPr>
            </w:pPr>
            <w:r w:rsidRPr="00A5621C">
              <w:rPr>
                <w:rFonts w:ascii="Nunito" w:eastAsia="Times New Roman" w:hAnsi="Nunito" w:cs="Calibri"/>
                <w:color w:val="000000"/>
                <w:kern w:val="0"/>
                <w:sz w:val="18"/>
                <w:szCs w:val="18"/>
                <w:lang w:eastAsia="es-CO"/>
                <w14:ligatures w14:val="none"/>
              </w:rPr>
              <w:t>UPME</w:t>
            </w:r>
          </w:p>
        </w:tc>
      </w:tr>
      <w:tr w:rsidR="00C160D1" w:rsidRPr="00B123BF" w14:paraId="5C74A834" w14:textId="77777777" w:rsidTr="00A5621C">
        <w:trPr>
          <w:trHeight w:hRule="exact" w:val="330"/>
          <w:jc w:val="center"/>
        </w:trPr>
        <w:tc>
          <w:tcPr>
            <w:tcW w:w="2200" w:type="dxa"/>
            <w:tcBorders>
              <w:top w:val="nil"/>
              <w:left w:val="single" w:sz="4" w:space="0" w:color="auto"/>
              <w:bottom w:val="single" w:sz="4" w:space="0" w:color="auto"/>
              <w:right w:val="single" w:sz="4" w:space="0" w:color="auto"/>
            </w:tcBorders>
            <w:shd w:val="clear" w:color="auto" w:fill="auto"/>
            <w:vAlign w:val="center"/>
            <w:hideMark/>
          </w:tcPr>
          <w:p w14:paraId="7E677685" w14:textId="77777777" w:rsidR="00C160D1" w:rsidRPr="00A5621C" w:rsidRDefault="00C160D1" w:rsidP="00C160D1">
            <w:pPr>
              <w:spacing w:after="0" w:line="240" w:lineRule="auto"/>
              <w:jc w:val="right"/>
              <w:rPr>
                <w:rFonts w:ascii="Nunito" w:eastAsia="Times New Roman" w:hAnsi="Nunito" w:cs="Calibri"/>
                <w:b/>
                <w:bCs/>
                <w:color w:val="000000"/>
                <w:kern w:val="0"/>
                <w:sz w:val="18"/>
                <w:szCs w:val="18"/>
                <w:lang w:val="es-CO" w:eastAsia="es-CO"/>
                <w14:ligatures w14:val="none"/>
              </w:rPr>
            </w:pPr>
            <w:r w:rsidRPr="00A5621C">
              <w:rPr>
                <w:rFonts w:ascii="Nunito" w:eastAsia="Times New Roman" w:hAnsi="Nunito" w:cs="Calibri"/>
                <w:b/>
                <w:bCs/>
                <w:color w:val="000000"/>
                <w:kern w:val="0"/>
                <w:sz w:val="18"/>
                <w:szCs w:val="18"/>
                <w:lang w:eastAsia="es-CO"/>
                <w14:ligatures w14:val="none"/>
              </w:rPr>
              <w:t>Liquidación</w:t>
            </w:r>
          </w:p>
        </w:tc>
        <w:tc>
          <w:tcPr>
            <w:tcW w:w="2500" w:type="dxa"/>
            <w:tcBorders>
              <w:top w:val="nil"/>
              <w:left w:val="nil"/>
              <w:bottom w:val="single" w:sz="4" w:space="0" w:color="auto"/>
              <w:right w:val="single" w:sz="4" w:space="0" w:color="auto"/>
            </w:tcBorders>
            <w:shd w:val="clear" w:color="auto" w:fill="auto"/>
            <w:vAlign w:val="center"/>
            <w:hideMark/>
          </w:tcPr>
          <w:p w14:paraId="623ABBF5" w14:textId="77777777" w:rsidR="00C160D1" w:rsidRPr="00A5621C" w:rsidRDefault="00C160D1" w:rsidP="00C160D1">
            <w:pPr>
              <w:spacing w:after="0" w:line="240" w:lineRule="auto"/>
              <w:jc w:val="center"/>
              <w:rPr>
                <w:rFonts w:ascii="Nunito" w:eastAsia="Times New Roman" w:hAnsi="Nunito" w:cs="Calibri"/>
                <w:color w:val="000000"/>
                <w:kern w:val="0"/>
                <w:sz w:val="18"/>
                <w:szCs w:val="18"/>
                <w:lang w:val="es-CO" w:eastAsia="es-CO"/>
                <w14:ligatures w14:val="none"/>
              </w:rPr>
            </w:pPr>
            <w:r w:rsidRPr="00A5621C">
              <w:rPr>
                <w:rFonts w:ascii="Nunito" w:eastAsia="Times New Roman" w:hAnsi="Nunito" w:cs="Calibri"/>
                <w:color w:val="000000"/>
                <w:kern w:val="0"/>
                <w:sz w:val="18"/>
                <w:szCs w:val="18"/>
                <w:lang w:eastAsia="es-CO"/>
                <w14:ligatures w14:val="none"/>
              </w:rPr>
              <w:t>MME</w:t>
            </w:r>
          </w:p>
        </w:tc>
        <w:tc>
          <w:tcPr>
            <w:tcW w:w="1900" w:type="dxa"/>
            <w:tcBorders>
              <w:top w:val="nil"/>
              <w:left w:val="nil"/>
              <w:bottom w:val="single" w:sz="4" w:space="0" w:color="auto"/>
              <w:right w:val="single" w:sz="4" w:space="0" w:color="auto"/>
            </w:tcBorders>
            <w:shd w:val="clear" w:color="auto" w:fill="auto"/>
            <w:vAlign w:val="center"/>
            <w:hideMark/>
          </w:tcPr>
          <w:p w14:paraId="024998B9" w14:textId="77777777" w:rsidR="00C160D1" w:rsidRPr="00A5621C" w:rsidRDefault="00C160D1" w:rsidP="00C160D1">
            <w:pPr>
              <w:spacing w:after="0" w:line="240" w:lineRule="auto"/>
              <w:jc w:val="center"/>
              <w:rPr>
                <w:rFonts w:ascii="Nunito" w:eastAsia="Times New Roman" w:hAnsi="Nunito" w:cs="Calibri"/>
                <w:color w:val="000000"/>
                <w:kern w:val="0"/>
                <w:sz w:val="18"/>
                <w:szCs w:val="18"/>
                <w:lang w:val="es-CO" w:eastAsia="es-CO"/>
                <w14:ligatures w14:val="none"/>
              </w:rPr>
            </w:pPr>
            <w:r w:rsidRPr="00A5621C">
              <w:rPr>
                <w:rFonts w:ascii="Nunito" w:eastAsia="Times New Roman" w:hAnsi="Nunito" w:cs="Calibri"/>
                <w:color w:val="000000"/>
                <w:kern w:val="0"/>
                <w:sz w:val="18"/>
                <w:szCs w:val="18"/>
                <w:lang w:eastAsia="es-CO"/>
                <w14:ligatures w14:val="none"/>
              </w:rPr>
              <w:t>MME</w:t>
            </w:r>
          </w:p>
        </w:tc>
      </w:tr>
    </w:tbl>
    <w:p w14:paraId="05BB0717" w14:textId="77777777" w:rsidR="00C160D1" w:rsidRPr="00A5621C" w:rsidRDefault="00C160D1" w:rsidP="00C160D1">
      <w:pPr>
        <w:spacing w:after="0" w:line="240" w:lineRule="auto"/>
        <w:jc w:val="center"/>
        <w:rPr>
          <w:rFonts w:ascii="Nunito" w:hAnsi="Nunito"/>
          <w:sz w:val="18"/>
          <w:szCs w:val="18"/>
        </w:rPr>
      </w:pPr>
      <w:r w:rsidRPr="00A5621C">
        <w:rPr>
          <w:rFonts w:ascii="Nunito" w:hAnsi="Nunito"/>
          <w:b/>
          <w:sz w:val="18"/>
          <w:szCs w:val="18"/>
        </w:rPr>
        <w:t>Fuente:</w:t>
      </w:r>
      <w:r w:rsidRPr="00A5621C">
        <w:rPr>
          <w:rFonts w:ascii="Nunito" w:hAnsi="Nunito"/>
          <w:sz w:val="18"/>
          <w:szCs w:val="18"/>
        </w:rPr>
        <w:t xml:space="preserve"> Resolución UPME 470 de 2022 y Resolución MME 40702 de 2019.</w:t>
      </w:r>
    </w:p>
    <w:p w14:paraId="2CF44166" w14:textId="77777777" w:rsidR="00C160D1" w:rsidRPr="00A5621C" w:rsidRDefault="00C160D1" w:rsidP="008F6D38">
      <w:pPr>
        <w:spacing w:after="0"/>
        <w:jc w:val="both"/>
        <w:rPr>
          <w:rFonts w:ascii="Nunito" w:hAnsi="Nunito"/>
          <w:sz w:val="22"/>
          <w:szCs w:val="22"/>
        </w:rPr>
      </w:pPr>
    </w:p>
    <w:p w14:paraId="19AAD795" w14:textId="5680EB2C" w:rsidR="002431CC" w:rsidRPr="00A5621C" w:rsidRDefault="002431CC" w:rsidP="008F6D38">
      <w:pPr>
        <w:spacing w:after="0"/>
        <w:jc w:val="both"/>
        <w:rPr>
          <w:rFonts w:ascii="Nunito" w:hAnsi="Nunito"/>
          <w:sz w:val="22"/>
          <w:szCs w:val="22"/>
        </w:rPr>
      </w:pPr>
      <w:r w:rsidRPr="00A5621C">
        <w:rPr>
          <w:rFonts w:ascii="Nunito" w:hAnsi="Nunito"/>
          <w:sz w:val="22"/>
          <w:szCs w:val="22"/>
        </w:rPr>
        <w:t>En atención a lo anterior, mientras se implementaba el mecanismo de compensación de transporte para el aseguramiento de abastecimiento de combustibles líquidos y GLP en la zona suroccidental del país, el MME adoptó las obras señaladas en el Plan Indicativo de Abastecimiento de Combustibles Líquidos de 2021, priorizando dentro del Plan de Expansión de la Red de Poliductos la necesidad de optimizar el suministro de combustibles líquidos con la construcción de poliductos para la región Sur Occidental, contemplando el diseño, adecuación y montaje de la infraestructura necesaria para brindar continuidad de transporte de combustibles líquidos y GLP por poliducto entre en Valle del Cauca (Yumbo-</w:t>
      </w:r>
      <w:proofErr w:type="spellStart"/>
      <w:r w:rsidRPr="00A5621C">
        <w:rPr>
          <w:rFonts w:ascii="Nunito" w:hAnsi="Nunito"/>
          <w:sz w:val="22"/>
          <w:szCs w:val="22"/>
        </w:rPr>
        <w:t>Mulaló</w:t>
      </w:r>
      <w:proofErr w:type="spellEnd"/>
      <w:r w:rsidRPr="00A5621C">
        <w:rPr>
          <w:rFonts w:ascii="Nunito" w:hAnsi="Nunito"/>
          <w:sz w:val="22"/>
          <w:szCs w:val="22"/>
        </w:rPr>
        <w:t>), Cauca (Popayán) y Nariño (Pasto) con una capacidad de 25 KBPD</w:t>
      </w:r>
      <w:r w:rsidRPr="00A5621C">
        <w:rPr>
          <w:rStyle w:val="FootnoteReference"/>
          <w:rFonts w:ascii="Nunito" w:hAnsi="Nunito"/>
          <w:sz w:val="22"/>
          <w:szCs w:val="22"/>
        </w:rPr>
        <w:footnoteReference w:id="8"/>
      </w:r>
      <w:r w:rsidRPr="00A5621C">
        <w:rPr>
          <w:rFonts w:ascii="Nunito" w:hAnsi="Nunito"/>
          <w:sz w:val="22"/>
          <w:szCs w:val="22"/>
        </w:rPr>
        <w:t>.</w:t>
      </w:r>
    </w:p>
    <w:p w14:paraId="367EABD2" w14:textId="77777777" w:rsidR="00EA0007" w:rsidRPr="00A5621C" w:rsidRDefault="00EA0007" w:rsidP="00A5621C">
      <w:pPr>
        <w:spacing w:after="0"/>
        <w:jc w:val="both"/>
        <w:rPr>
          <w:rFonts w:ascii="Nunito" w:hAnsi="Nunito"/>
          <w:sz w:val="22"/>
          <w:szCs w:val="22"/>
        </w:rPr>
      </w:pPr>
    </w:p>
    <w:p w14:paraId="4A1D2A9F" w14:textId="77777777" w:rsidR="002431CC" w:rsidRPr="00A5621C" w:rsidRDefault="002431CC" w:rsidP="008F6D38">
      <w:pPr>
        <w:spacing w:after="0"/>
        <w:jc w:val="both"/>
        <w:rPr>
          <w:rFonts w:ascii="Nunito" w:hAnsi="Nunito"/>
          <w:sz w:val="22"/>
          <w:szCs w:val="22"/>
        </w:rPr>
      </w:pPr>
      <w:r w:rsidRPr="00A5621C">
        <w:rPr>
          <w:rFonts w:ascii="Nunito" w:hAnsi="Nunito"/>
          <w:sz w:val="22"/>
          <w:szCs w:val="22"/>
        </w:rPr>
        <w:t xml:space="preserve">Frente a esto la CREG publicó en 2023 el proyecto de resolución No. 705 001 de 2023 para establecer el procedimiento que se debe adelantar para la ejecución de los proyectos del Plan de Continuidad y Plan de Expansión de la Red de Poliductos adoptados por el MME. </w:t>
      </w:r>
    </w:p>
    <w:p w14:paraId="4706170A" w14:textId="77777777" w:rsidR="00EA0007" w:rsidRPr="00A5621C" w:rsidRDefault="00EA0007" w:rsidP="00A5621C">
      <w:pPr>
        <w:spacing w:after="0"/>
        <w:jc w:val="both"/>
        <w:rPr>
          <w:rFonts w:ascii="Nunito" w:hAnsi="Nunito"/>
          <w:sz w:val="22"/>
          <w:szCs w:val="22"/>
        </w:rPr>
      </w:pPr>
    </w:p>
    <w:p w14:paraId="5BF8F824" w14:textId="2ACAEC79" w:rsidR="002431CC" w:rsidRPr="00A5621C" w:rsidRDefault="002431CC" w:rsidP="00A5621C">
      <w:pPr>
        <w:pStyle w:val="ListParagraph"/>
        <w:numPr>
          <w:ilvl w:val="1"/>
          <w:numId w:val="13"/>
        </w:numPr>
        <w:spacing w:after="0"/>
        <w:jc w:val="both"/>
        <w:rPr>
          <w:rFonts w:ascii="Nunito" w:eastAsiaTheme="majorEastAsia" w:hAnsi="Nunito" w:cstheme="majorBidi"/>
          <w:b/>
          <w:bCs/>
          <w:color w:val="94C700"/>
          <w:sz w:val="28"/>
          <w:szCs w:val="28"/>
        </w:rPr>
      </w:pPr>
      <w:r w:rsidRPr="00A5621C">
        <w:rPr>
          <w:rFonts w:ascii="Nunito" w:eastAsiaTheme="majorEastAsia" w:hAnsi="Nunito" w:cstheme="majorBidi"/>
          <w:b/>
          <w:bCs/>
          <w:color w:val="94C700"/>
          <w:sz w:val="28"/>
          <w:szCs w:val="28"/>
        </w:rPr>
        <w:t xml:space="preserve"> </w:t>
      </w:r>
      <w:r w:rsidR="00A13A1C">
        <w:rPr>
          <w:rFonts w:ascii="Nunito" w:eastAsiaTheme="majorEastAsia" w:hAnsi="Nunito" w:cstheme="majorBidi"/>
          <w:b/>
          <w:bCs/>
          <w:color w:val="94C700"/>
          <w:sz w:val="28"/>
          <w:szCs w:val="28"/>
        </w:rPr>
        <w:t>D</w:t>
      </w:r>
      <w:r w:rsidRPr="00A5621C">
        <w:rPr>
          <w:rFonts w:ascii="Nunito" w:eastAsiaTheme="majorEastAsia" w:hAnsi="Nunito" w:cstheme="majorBidi"/>
          <w:b/>
          <w:bCs/>
          <w:color w:val="94C700"/>
          <w:sz w:val="28"/>
          <w:szCs w:val="28"/>
        </w:rPr>
        <w:t>istribución de combustibles en el Departamento de Nariño.</w:t>
      </w:r>
    </w:p>
    <w:p w14:paraId="795469DF" w14:textId="77777777" w:rsidR="002431CC" w:rsidRPr="00A5621C" w:rsidRDefault="002431CC" w:rsidP="008F6D38">
      <w:pPr>
        <w:spacing w:after="0"/>
        <w:jc w:val="both"/>
        <w:rPr>
          <w:rFonts w:ascii="Nunito" w:hAnsi="Nunito"/>
          <w:sz w:val="22"/>
          <w:szCs w:val="22"/>
        </w:rPr>
      </w:pPr>
      <w:r w:rsidRPr="00A5621C">
        <w:rPr>
          <w:rFonts w:ascii="Nunito" w:hAnsi="Nunito"/>
          <w:sz w:val="22"/>
          <w:szCs w:val="22"/>
        </w:rPr>
        <w:t xml:space="preserve">Debido a la presencia de plantas mayoristas que abastecen a los municipios de Nariño desde el interior del departamento, y desde otros departamentos, el MME reguló lo respectivo a la </w:t>
      </w:r>
      <w:r w:rsidRPr="00A5621C">
        <w:rPr>
          <w:rFonts w:ascii="Nunito" w:hAnsi="Nunito"/>
          <w:sz w:val="22"/>
          <w:szCs w:val="22"/>
        </w:rPr>
        <w:lastRenderedPageBreak/>
        <w:t>compensación del transporte terrestre de combustibles líquidos derivados del petróleo para el año 2019.</w:t>
      </w:r>
      <w:r w:rsidRPr="00A5621C">
        <w:rPr>
          <w:rStyle w:val="FootnoteReference"/>
          <w:rFonts w:ascii="Nunito" w:hAnsi="Nunito"/>
          <w:sz w:val="22"/>
          <w:szCs w:val="22"/>
        </w:rPr>
        <w:footnoteReference w:id="9"/>
      </w:r>
    </w:p>
    <w:p w14:paraId="3DD347FE" w14:textId="77777777" w:rsidR="00346B76" w:rsidRPr="00A5621C" w:rsidRDefault="00346B76" w:rsidP="00A5621C">
      <w:pPr>
        <w:spacing w:after="0"/>
        <w:jc w:val="both"/>
        <w:rPr>
          <w:rFonts w:ascii="Nunito" w:hAnsi="Nunito"/>
          <w:sz w:val="22"/>
          <w:szCs w:val="22"/>
        </w:rPr>
      </w:pPr>
    </w:p>
    <w:p w14:paraId="366E8653" w14:textId="77777777" w:rsidR="002431CC" w:rsidRPr="00A5621C" w:rsidRDefault="002431CC" w:rsidP="008F6D38">
      <w:pPr>
        <w:spacing w:after="0"/>
        <w:jc w:val="both"/>
        <w:rPr>
          <w:rFonts w:ascii="Nunito" w:hAnsi="Nunito"/>
          <w:sz w:val="22"/>
          <w:szCs w:val="22"/>
        </w:rPr>
      </w:pPr>
      <w:r w:rsidRPr="00A5621C">
        <w:rPr>
          <w:rFonts w:ascii="Nunito" w:hAnsi="Nunito"/>
          <w:sz w:val="22"/>
          <w:szCs w:val="22"/>
        </w:rPr>
        <w:t>A nivel de mercado, con la puesta en operación de la planta de abastecimiento mayorista de combustibles líquidos ubicada en el municipio de San Andrés de Tumaco (Nariño), se configuraron dos (2) orígenes principales de abastecimiento de combustibles para los municipios del suroccidente del país, es decir, tanto desde el municipio de Tumaco (Nariño), como desde el municipio de Yumbo (Valle del Cauca).</w:t>
      </w:r>
    </w:p>
    <w:p w14:paraId="492E990E" w14:textId="77777777" w:rsidR="00346B76" w:rsidRPr="00A5621C" w:rsidRDefault="00346B76" w:rsidP="00A5621C">
      <w:pPr>
        <w:spacing w:after="0"/>
        <w:jc w:val="both"/>
        <w:rPr>
          <w:rFonts w:ascii="Nunito" w:hAnsi="Nunito"/>
          <w:sz w:val="22"/>
          <w:szCs w:val="22"/>
        </w:rPr>
      </w:pPr>
    </w:p>
    <w:p w14:paraId="4923F0CC" w14:textId="77777777" w:rsidR="002431CC" w:rsidRPr="00A5621C" w:rsidRDefault="002431CC" w:rsidP="00A5621C">
      <w:pPr>
        <w:spacing w:after="0"/>
        <w:jc w:val="both"/>
        <w:rPr>
          <w:rFonts w:ascii="Nunito" w:hAnsi="Nunito"/>
          <w:sz w:val="22"/>
          <w:szCs w:val="22"/>
        </w:rPr>
      </w:pPr>
      <w:r w:rsidRPr="00A5621C">
        <w:rPr>
          <w:rFonts w:ascii="Nunito" w:hAnsi="Nunito"/>
          <w:sz w:val="22"/>
          <w:szCs w:val="22"/>
        </w:rPr>
        <w:t xml:space="preserve">Hoy en día el transporte para el abastecimiento de combustibles líquidos para esta zona del país se realiza a través de cabotaje y transporte terrestre. La compensación por transporte a las Plantas de Abasto </w:t>
      </w:r>
      <w:proofErr w:type="gramStart"/>
      <w:r w:rsidRPr="00A5621C">
        <w:rPr>
          <w:rFonts w:ascii="Nunito" w:hAnsi="Nunito"/>
          <w:sz w:val="22"/>
          <w:szCs w:val="22"/>
        </w:rPr>
        <w:t>Mayorista,</w:t>
      </w:r>
      <w:proofErr w:type="gramEnd"/>
      <w:r w:rsidRPr="00A5621C">
        <w:rPr>
          <w:rFonts w:ascii="Nunito" w:hAnsi="Nunito"/>
          <w:sz w:val="22"/>
          <w:szCs w:val="22"/>
        </w:rPr>
        <w:t xml:space="preserve"> tiene aplicabilidad para el volumen de combustibles que se moviliza por transporte terrestre. La distribución de combustible líquido en el Departamento de Nariño se realiza a través de 5 mayoristas que despachan desde las plantas ubicadas en el Municipio de Yumbo hacía las EDS de los diferentes municipios del Departamento de Nariño.</w:t>
      </w:r>
      <w:r w:rsidRPr="00A5621C">
        <w:rPr>
          <w:rStyle w:val="FootnoteReference"/>
          <w:rFonts w:ascii="Nunito" w:hAnsi="Nunito"/>
          <w:sz w:val="22"/>
          <w:szCs w:val="22"/>
        </w:rPr>
        <w:footnoteReference w:id="10"/>
      </w:r>
    </w:p>
    <w:p w14:paraId="02D9A95D" w14:textId="77777777" w:rsidR="002431CC" w:rsidRPr="00A5621C" w:rsidRDefault="002431CC" w:rsidP="00A5621C">
      <w:pPr>
        <w:spacing w:after="0"/>
        <w:jc w:val="both"/>
        <w:rPr>
          <w:rFonts w:ascii="Nunito" w:hAnsi="Nunito"/>
          <w:sz w:val="22"/>
          <w:szCs w:val="22"/>
        </w:rPr>
      </w:pPr>
      <w:r w:rsidRPr="00A5621C">
        <w:rPr>
          <w:rFonts w:ascii="Nunito" w:hAnsi="Nunito"/>
          <w:sz w:val="22"/>
          <w:szCs w:val="22"/>
        </w:rPr>
        <w:t>Por otro lado, la movilización por cabotaje de combustible proveniente de Reficar y otros países, no se cubre por compensación toda vez que corresponde a un transporte diferencial y se le aplica por condición de subsidio por zona fronteriza, a cargo del cargo del Fondo de Estabilización de Precios de los Combustibles (FEPC).</w:t>
      </w:r>
    </w:p>
    <w:p w14:paraId="734313CC" w14:textId="77777777" w:rsidR="002431CC" w:rsidRPr="00A5621C" w:rsidRDefault="002431CC" w:rsidP="00A5621C">
      <w:pPr>
        <w:spacing w:after="0"/>
        <w:jc w:val="both"/>
        <w:rPr>
          <w:rFonts w:ascii="Nunito" w:hAnsi="Nunito"/>
          <w:sz w:val="22"/>
          <w:szCs w:val="22"/>
        </w:rPr>
      </w:pPr>
    </w:p>
    <w:p w14:paraId="6F5B7018" w14:textId="03A41F1F" w:rsidR="002431CC" w:rsidRPr="00A5621C" w:rsidRDefault="002431CC" w:rsidP="00A5621C">
      <w:pPr>
        <w:spacing w:after="0"/>
        <w:jc w:val="both"/>
        <w:rPr>
          <w:rFonts w:ascii="Nunito" w:hAnsi="Nunito"/>
          <w:sz w:val="22"/>
          <w:szCs w:val="22"/>
        </w:rPr>
      </w:pPr>
      <w:r w:rsidRPr="00A5621C">
        <w:rPr>
          <w:rFonts w:ascii="Nunito" w:hAnsi="Nunito"/>
          <w:sz w:val="22"/>
          <w:szCs w:val="22"/>
        </w:rPr>
        <w:t>En cuanto a operación de transporte para GLP, la principal vía de acceso corresponde a la ruta Panamericana a la altura de Rosas, Cauca en el tramo que conduce a Valle del Cauca, Cauca y</w:t>
      </w:r>
      <w:r w:rsidR="00EA0007" w:rsidRPr="00A5621C">
        <w:rPr>
          <w:rFonts w:ascii="Nunito" w:hAnsi="Nunito"/>
          <w:sz w:val="22"/>
          <w:szCs w:val="22"/>
        </w:rPr>
        <w:t xml:space="preserve"> </w:t>
      </w:r>
      <w:r w:rsidRPr="00A5621C">
        <w:rPr>
          <w:rFonts w:ascii="Nunito" w:hAnsi="Nunito"/>
          <w:sz w:val="22"/>
          <w:szCs w:val="22"/>
        </w:rPr>
        <w:t>Nariño donde las afectaciones son recurrentes, ya sea por cierres sociales</w:t>
      </w:r>
      <w:r w:rsidR="00EA0007" w:rsidRPr="00A5621C">
        <w:rPr>
          <w:rFonts w:ascii="Nunito" w:hAnsi="Nunito"/>
          <w:sz w:val="22"/>
          <w:szCs w:val="22"/>
        </w:rPr>
        <w:t xml:space="preserve"> </w:t>
      </w:r>
      <w:r w:rsidRPr="00A5621C">
        <w:rPr>
          <w:rFonts w:ascii="Nunito" w:hAnsi="Nunito"/>
          <w:sz w:val="22"/>
          <w:szCs w:val="22"/>
        </w:rPr>
        <w:t>o inestabilidades geológicas. Esto impacta directamente el suministro de GLP a</w:t>
      </w:r>
      <w:r w:rsidR="00EA0007" w:rsidRPr="00A5621C">
        <w:rPr>
          <w:rFonts w:ascii="Nunito" w:hAnsi="Nunito"/>
          <w:sz w:val="22"/>
          <w:szCs w:val="22"/>
        </w:rPr>
        <w:t xml:space="preserve"> </w:t>
      </w:r>
      <w:r w:rsidRPr="00A5621C">
        <w:rPr>
          <w:rFonts w:ascii="Nunito" w:hAnsi="Nunito"/>
          <w:sz w:val="22"/>
          <w:szCs w:val="22"/>
        </w:rPr>
        <w:t>Nariño, departamento que depende en gran parte de esta vía y que carece de una</w:t>
      </w:r>
      <w:r w:rsidR="00EA0007" w:rsidRPr="00A5621C">
        <w:rPr>
          <w:rFonts w:ascii="Nunito" w:hAnsi="Nunito"/>
          <w:sz w:val="22"/>
          <w:szCs w:val="22"/>
        </w:rPr>
        <w:t xml:space="preserve"> </w:t>
      </w:r>
      <w:r w:rsidRPr="00A5621C">
        <w:rPr>
          <w:rFonts w:ascii="Nunito" w:hAnsi="Nunito"/>
          <w:sz w:val="22"/>
          <w:szCs w:val="22"/>
        </w:rPr>
        <w:t xml:space="preserve">ruta alterna desde Yumbo, lo que lo hace altamente vulnerable. </w:t>
      </w:r>
    </w:p>
    <w:p w14:paraId="21E84AB9" w14:textId="77777777" w:rsidR="002431CC" w:rsidRPr="00A5621C" w:rsidRDefault="002431CC" w:rsidP="00A5621C">
      <w:pPr>
        <w:spacing w:after="0"/>
        <w:jc w:val="both"/>
        <w:rPr>
          <w:rFonts w:ascii="Nunito" w:hAnsi="Nunito"/>
          <w:sz w:val="22"/>
          <w:szCs w:val="22"/>
        </w:rPr>
      </w:pPr>
    </w:p>
    <w:p w14:paraId="60A0F6F7" w14:textId="41464F21" w:rsidR="002431CC" w:rsidRDefault="002431CC" w:rsidP="00FD4EA6">
      <w:pPr>
        <w:spacing w:after="0"/>
        <w:jc w:val="both"/>
        <w:rPr>
          <w:rFonts w:ascii="Nunito" w:hAnsi="Nunito"/>
          <w:sz w:val="22"/>
          <w:szCs w:val="22"/>
        </w:rPr>
      </w:pPr>
      <w:r w:rsidRPr="00A5621C">
        <w:rPr>
          <w:rFonts w:ascii="Nunito" w:hAnsi="Nunito"/>
          <w:sz w:val="22"/>
          <w:szCs w:val="22"/>
        </w:rPr>
        <w:t>Si bien este mecanismo de compensación tiene como principio que el costo de transporte del combustible disminuye, generando efectos positivos en los consumidores de la zona, en la actualidad en el departamento de Nariño se consumen cerca de 400.000 galones de combustibles diariamente, de los que 65% son de gasolina y 35% de diésel</w:t>
      </w:r>
      <w:r w:rsidRPr="00A5621C">
        <w:rPr>
          <w:rStyle w:val="FootnoteReference"/>
          <w:rFonts w:ascii="Nunito" w:hAnsi="Nunito"/>
          <w:sz w:val="22"/>
          <w:szCs w:val="22"/>
        </w:rPr>
        <w:footnoteReference w:id="11"/>
      </w:r>
      <w:r w:rsidRPr="00A5621C">
        <w:rPr>
          <w:rFonts w:ascii="Nunito" w:hAnsi="Nunito"/>
          <w:sz w:val="22"/>
          <w:szCs w:val="22"/>
        </w:rPr>
        <w:t xml:space="preserve">, en conjunto con </w:t>
      </w:r>
      <w:r w:rsidRPr="00A5621C">
        <w:rPr>
          <w:rFonts w:ascii="Nunito" w:hAnsi="Nunito"/>
          <w:sz w:val="22"/>
          <w:szCs w:val="22"/>
        </w:rPr>
        <w:lastRenderedPageBreak/>
        <w:t>un promedio superior a 4600 toneladas mes de GLP durante los últimos 5 años.</w:t>
      </w:r>
      <w:r w:rsidRPr="00A5621C">
        <w:rPr>
          <w:rStyle w:val="FootnoteReference"/>
          <w:rFonts w:ascii="Nunito" w:hAnsi="Nunito"/>
          <w:sz w:val="22"/>
          <w:szCs w:val="22"/>
        </w:rPr>
        <w:footnoteReference w:id="12"/>
      </w:r>
      <w:r w:rsidR="00346B76" w:rsidRPr="00A5621C">
        <w:rPr>
          <w:rFonts w:ascii="Nunito" w:hAnsi="Nunito"/>
          <w:sz w:val="22"/>
          <w:szCs w:val="22"/>
        </w:rPr>
        <w:t xml:space="preserve"> </w:t>
      </w:r>
      <w:r w:rsidR="00FA6B14">
        <w:rPr>
          <w:rFonts w:ascii="Nunito" w:hAnsi="Nunito"/>
          <w:sz w:val="22"/>
          <w:szCs w:val="22"/>
        </w:rPr>
        <w:t xml:space="preserve"> </w:t>
      </w:r>
      <w:r w:rsidR="00FD4EA6">
        <w:rPr>
          <w:rFonts w:ascii="Nunito" w:hAnsi="Nunito"/>
          <w:sz w:val="22"/>
          <w:szCs w:val="22"/>
        </w:rPr>
        <w:t>Por otra parte</w:t>
      </w:r>
      <w:r w:rsidRPr="00A5621C">
        <w:rPr>
          <w:rFonts w:ascii="Nunito" w:hAnsi="Nunito"/>
          <w:sz w:val="22"/>
          <w:szCs w:val="22"/>
        </w:rPr>
        <w:t>, según información reportada por el MME</w:t>
      </w:r>
      <w:r w:rsidR="00FD4EA6">
        <w:rPr>
          <w:rFonts w:ascii="Nunito" w:hAnsi="Nunito"/>
          <w:sz w:val="22"/>
          <w:szCs w:val="22"/>
        </w:rPr>
        <w:t>,</w:t>
      </w:r>
      <w:r w:rsidRPr="00A5621C">
        <w:rPr>
          <w:rFonts w:ascii="Nunito" w:hAnsi="Nunito"/>
          <w:sz w:val="22"/>
          <w:szCs w:val="22"/>
        </w:rPr>
        <w:t xml:space="preserve"> el costo económico </w:t>
      </w:r>
      <w:r w:rsidR="00FD4EA6">
        <w:rPr>
          <w:rFonts w:ascii="Nunito" w:hAnsi="Nunito"/>
          <w:sz w:val="22"/>
          <w:szCs w:val="22"/>
        </w:rPr>
        <w:t xml:space="preserve">asociado </w:t>
      </w:r>
      <w:r w:rsidRPr="00A5621C">
        <w:rPr>
          <w:rFonts w:ascii="Nunito" w:hAnsi="Nunito"/>
          <w:sz w:val="22"/>
          <w:szCs w:val="22"/>
        </w:rPr>
        <w:t xml:space="preserve">por no contar con infraestructura de transporte por poliducto corresponde a la movilización de combustible </w:t>
      </w:r>
      <w:r w:rsidR="00FD4EA6">
        <w:rPr>
          <w:rFonts w:ascii="Nunito" w:hAnsi="Nunito"/>
          <w:sz w:val="22"/>
          <w:szCs w:val="22"/>
        </w:rPr>
        <w:t xml:space="preserve">por transporte terrestre </w:t>
      </w:r>
      <w:r w:rsidRPr="00A5621C">
        <w:rPr>
          <w:rFonts w:ascii="Nunito" w:hAnsi="Nunito"/>
          <w:sz w:val="22"/>
          <w:szCs w:val="22"/>
        </w:rPr>
        <w:t>desde las siguientes zonas de origen:</w:t>
      </w:r>
    </w:p>
    <w:p w14:paraId="284500DE" w14:textId="77777777" w:rsidR="00FD4EA6" w:rsidRDefault="00FD4EA6" w:rsidP="00FD4EA6">
      <w:pPr>
        <w:spacing w:after="0"/>
        <w:jc w:val="both"/>
        <w:rPr>
          <w:rFonts w:ascii="Nunito" w:hAnsi="Nunito"/>
          <w:sz w:val="22"/>
          <w:szCs w:val="22"/>
        </w:rPr>
      </w:pPr>
    </w:p>
    <w:p w14:paraId="7B33652D" w14:textId="32EA3DDC" w:rsidR="00346B76" w:rsidRDefault="00346B76" w:rsidP="00346B76">
      <w:pPr>
        <w:spacing w:after="0" w:line="240" w:lineRule="auto"/>
        <w:jc w:val="center"/>
        <w:rPr>
          <w:rFonts w:ascii="Nunito" w:hAnsi="Nunito"/>
          <w:b/>
          <w:bCs/>
          <w:sz w:val="22"/>
          <w:szCs w:val="22"/>
        </w:rPr>
      </w:pPr>
      <w:r w:rsidRPr="00A5621C">
        <w:rPr>
          <w:rFonts w:ascii="Nunito" w:hAnsi="Nunito"/>
          <w:b/>
          <w:bCs/>
          <w:sz w:val="22"/>
          <w:szCs w:val="22"/>
        </w:rPr>
        <w:t xml:space="preserve">Tabla 2. </w:t>
      </w:r>
      <w:r w:rsidR="001635D5" w:rsidRPr="00A5621C">
        <w:rPr>
          <w:rFonts w:ascii="Nunito" w:hAnsi="Nunito"/>
          <w:b/>
          <w:bCs/>
          <w:sz w:val="22"/>
          <w:szCs w:val="22"/>
        </w:rPr>
        <w:t>Zonas de origen</w:t>
      </w:r>
      <w:r w:rsidR="00C160D1" w:rsidRPr="00A5621C">
        <w:rPr>
          <w:rFonts w:ascii="Nunito" w:hAnsi="Nunito"/>
          <w:b/>
          <w:bCs/>
          <w:sz w:val="22"/>
          <w:szCs w:val="22"/>
        </w:rPr>
        <w:t xml:space="preserve"> </w:t>
      </w:r>
      <w:r w:rsidR="001635D5" w:rsidRPr="00A5621C">
        <w:rPr>
          <w:rFonts w:ascii="Nunito" w:hAnsi="Nunito"/>
          <w:b/>
          <w:bCs/>
          <w:sz w:val="22"/>
          <w:szCs w:val="22"/>
        </w:rPr>
        <w:t>para reconocimiento de compensación</w:t>
      </w:r>
    </w:p>
    <w:tbl>
      <w:tblPr>
        <w:tblW w:w="4640" w:type="dxa"/>
        <w:jc w:val="center"/>
        <w:tblCellMar>
          <w:left w:w="70" w:type="dxa"/>
          <w:right w:w="70" w:type="dxa"/>
        </w:tblCellMar>
        <w:tblLook w:val="04A0" w:firstRow="1" w:lastRow="0" w:firstColumn="1" w:lastColumn="0" w:noHBand="0" w:noVBand="1"/>
      </w:tblPr>
      <w:tblGrid>
        <w:gridCol w:w="1920"/>
        <w:gridCol w:w="2720"/>
      </w:tblGrid>
      <w:tr w:rsidR="00346B76" w:rsidRPr="00B123BF" w14:paraId="789DE47E" w14:textId="77777777" w:rsidTr="00A5621C">
        <w:trPr>
          <w:trHeight w:val="600"/>
          <w:jc w:val="center"/>
        </w:trPr>
        <w:tc>
          <w:tcPr>
            <w:tcW w:w="1920" w:type="dxa"/>
            <w:tcBorders>
              <w:top w:val="single" w:sz="4" w:space="0" w:color="auto"/>
              <w:left w:val="single" w:sz="4" w:space="0" w:color="auto"/>
              <w:bottom w:val="single" w:sz="4" w:space="0" w:color="auto"/>
              <w:right w:val="single" w:sz="4" w:space="0" w:color="auto"/>
            </w:tcBorders>
            <w:shd w:val="clear" w:color="000000" w:fill="E2EFDA"/>
            <w:vAlign w:val="center"/>
            <w:hideMark/>
          </w:tcPr>
          <w:p w14:paraId="6487FB01" w14:textId="77777777" w:rsidR="00346B76" w:rsidRPr="00A5621C" w:rsidRDefault="00346B76" w:rsidP="00346B76">
            <w:pPr>
              <w:spacing w:after="0" w:line="240" w:lineRule="auto"/>
              <w:jc w:val="center"/>
              <w:rPr>
                <w:rFonts w:ascii="Nunito" w:eastAsia="Times New Roman" w:hAnsi="Nunito" w:cs="Calibri"/>
                <w:b/>
                <w:bCs/>
                <w:color w:val="000000"/>
                <w:kern w:val="0"/>
                <w:sz w:val="18"/>
                <w:szCs w:val="18"/>
                <w:lang w:val="es-CO" w:eastAsia="es-CO"/>
                <w14:ligatures w14:val="none"/>
              </w:rPr>
            </w:pPr>
            <w:r w:rsidRPr="00A5621C">
              <w:rPr>
                <w:rFonts w:ascii="Nunito" w:eastAsia="Times New Roman" w:hAnsi="Nunito" w:cs="Calibri"/>
                <w:b/>
                <w:bCs/>
                <w:color w:val="000000"/>
                <w:kern w:val="0"/>
                <w:sz w:val="18"/>
                <w:szCs w:val="18"/>
                <w:lang w:eastAsia="es-CO"/>
                <w14:ligatures w14:val="none"/>
              </w:rPr>
              <w:t>Departamento de Origen</w:t>
            </w:r>
          </w:p>
        </w:tc>
        <w:tc>
          <w:tcPr>
            <w:tcW w:w="2720" w:type="dxa"/>
            <w:tcBorders>
              <w:top w:val="single" w:sz="4" w:space="0" w:color="auto"/>
              <w:left w:val="nil"/>
              <w:bottom w:val="single" w:sz="4" w:space="0" w:color="auto"/>
              <w:right w:val="single" w:sz="4" w:space="0" w:color="auto"/>
            </w:tcBorders>
            <w:shd w:val="clear" w:color="000000" w:fill="E2EFDA"/>
            <w:vAlign w:val="center"/>
            <w:hideMark/>
          </w:tcPr>
          <w:p w14:paraId="4FB54827" w14:textId="77777777" w:rsidR="00346B76" w:rsidRPr="00A5621C" w:rsidRDefault="00346B76" w:rsidP="00346B76">
            <w:pPr>
              <w:spacing w:after="0" w:line="240" w:lineRule="auto"/>
              <w:jc w:val="center"/>
              <w:rPr>
                <w:rFonts w:ascii="Nunito" w:eastAsia="Times New Roman" w:hAnsi="Nunito" w:cs="Calibri"/>
                <w:b/>
                <w:bCs/>
                <w:color w:val="000000"/>
                <w:kern w:val="0"/>
                <w:sz w:val="18"/>
                <w:szCs w:val="18"/>
                <w:lang w:val="es-CO" w:eastAsia="es-CO"/>
                <w14:ligatures w14:val="none"/>
              </w:rPr>
            </w:pPr>
            <w:r w:rsidRPr="00A5621C">
              <w:rPr>
                <w:rFonts w:ascii="Nunito" w:eastAsia="Times New Roman" w:hAnsi="Nunito" w:cs="Calibri"/>
                <w:b/>
                <w:bCs/>
                <w:color w:val="000000"/>
                <w:kern w:val="0"/>
                <w:sz w:val="18"/>
                <w:szCs w:val="18"/>
                <w:lang w:eastAsia="es-CO"/>
                <w14:ligatures w14:val="none"/>
              </w:rPr>
              <w:t>Municipios de origen de reconocimiento:</w:t>
            </w:r>
          </w:p>
        </w:tc>
      </w:tr>
      <w:tr w:rsidR="00346B76" w:rsidRPr="00B123BF" w14:paraId="18FBA9C5" w14:textId="77777777" w:rsidTr="00A5621C">
        <w:trPr>
          <w:trHeight w:val="300"/>
          <w:jc w:val="center"/>
        </w:trPr>
        <w:tc>
          <w:tcPr>
            <w:tcW w:w="1920" w:type="dxa"/>
            <w:tcBorders>
              <w:top w:val="nil"/>
              <w:left w:val="single" w:sz="4" w:space="0" w:color="auto"/>
              <w:bottom w:val="single" w:sz="4" w:space="0" w:color="auto"/>
              <w:right w:val="single" w:sz="4" w:space="0" w:color="auto"/>
            </w:tcBorders>
            <w:shd w:val="clear" w:color="auto" w:fill="auto"/>
            <w:vAlign w:val="center"/>
            <w:hideMark/>
          </w:tcPr>
          <w:p w14:paraId="5C53BE4B" w14:textId="77777777" w:rsidR="00346B76" w:rsidRPr="00A5621C" w:rsidRDefault="00346B76" w:rsidP="00346B76">
            <w:pPr>
              <w:spacing w:after="0" w:line="240" w:lineRule="auto"/>
              <w:jc w:val="center"/>
              <w:rPr>
                <w:rFonts w:ascii="Nunito" w:eastAsia="Times New Roman" w:hAnsi="Nunito" w:cs="Calibri"/>
                <w:color w:val="000000"/>
                <w:kern w:val="0"/>
                <w:sz w:val="18"/>
                <w:szCs w:val="18"/>
                <w:lang w:val="es-CO" w:eastAsia="es-CO"/>
                <w14:ligatures w14:val="none"/>
              </w:rPr>
            </w:pPr>
            <w:r w:rsidRPr="00A5621C">
              <w:rPr>
                <w:rFonts w:ascii="Nunito" w:eastAsia="Times New Roman" w:hAnsi="Nunito" w:cs="Calibri"/>
                <w:color w:val="000000"/>
                <w:kern w:val="0"/>
                <w:sz w:val="18"/>
                <w:szCs w:val="18"/>
                <w:lang w:eastAsia="es-CO"/>
                <w14:ligatures w14:val="none"/>
              </w:rPr>
              <w:t>Nariño</w:t>
            </w:r>
          </w:p>
        </w:tc>
        <w:tc>
          <w:tcPr>
            <w:tcW w:w="2720" w:type="dxa"/>
            <w:tcBorders>
              <w:top w:val="nil"/>
              <w:left w:val="nil"/>
              <w:bottom w:val="single" w:sz="4" w:space="0" w:color="auto"/>
              <w:right w:val="single" w:sz="4" w:space="0" w:color="auto"/>
            </w:tcBorders>
            <w:shd w:val="clear" w:color="auto" w:fill="auto"/>
            <w:vAlign w:val="center"/>
            <w:hideMark/>
          </w:tcPr>
          <w:p w14:paraId="13B81B4A" w14:textId="77777777" w:rsidR="00346B76" w:rsidRPr="00A5621C" w:rsidRDefault="00346B76" w:rsidP="00346B76">
            <w:pPr>
              <w:spacing w:after="0" w:line="240" w:lineRule="auto"/>
              <w:jc w:val="center"/>
              <w:rPr>
                <w:rFonts w:ascii="Nunito" w:eastAsia="Times New Roman" w:hAnsi="Nunito" w:cs="Calibri"/>
                <w:color w:val="000000"/>
                <w:kern w:val="0"/>
                <w:sz w:val="18"/>
                <w:szCs w:val="18"/>
                <w:lang w:val="es-CO" w:eastAsia="es-CO"/>
                <w14:ligatures w14:val="none"/>
              </w:rPr>
            </w:pPr>
            <w:r w:rsidRPr="00A5621C">
              <w:rPr>
                <w:rFonts w:ascii="Nunito" w:eastAsia="Times New Roman" w:hAnsi="Nunito" w:cs="Calibri"/>
                <w:color w:val="000000"/>
                <w:kern w:val="0"/>
                <w:sz w:val="18"/>
                <w:szCs w:val="18"/>
                <w:lang w:eastAsia="es-CO"/>
                <w14:ligatures w14:val="none"/>
              </w:rPr>
              <w:t>San Andrés de Tumaco</w:t>
            </w:r>
          </w:p>
        </w:tc>
      </w:tr>
      <w:tr w:rsidR="00346B76" w:rsidRPr="00B123BF" w14:paraId="6C03B6CD" w14:textId="77777777" w:rsidTr="00A5621C">
        <w:trPr>
          <w:trHeight w:val="300"/>
          <w:jc w:val="center"/>
        </w:trPr>
        <w:tc>
          <w:tcPr>
            <w:tcW w:w="1920" w:type="dxa"/>
            <w:tcBorders>
              <w:top w:val="nil"/>
              <w:left w:val="single" w:sz="4" w:space="0" w:color="auto"/>
              <w:bottom w:val="single" w:sz="4" w:space="0" w:color="auto"/>
              <w:right w:val="single" w:sz="4" w:space="0" w:color="auto"/>
            </w:tcBorders>
            <w:shd w:val="clear" w:color="auto" w:fill="auto"/>
            <w:vAlign w:val="center"/>
            <w:hideMark/>
          </w:tcPr>
          <w:p w14:paraId="09ACB3C6" w14:textId="77777777" w:rsidR="00346B76" w:rsidRPr="00A5621C" w:rsidRDefault="00346B76" w:rsidP="00346B76">
            <w:pPr>
              <w:spacing w:after="0" w:line="240" w:lineRule="auto"/>
              <w:jc w:val="center"/>
              <w:rPr>
                <w:rFonts w:ascii="Nunito" w:eastAsia="Times New Roman" w:hAnsi="Nunito" w:cs="Calibri"/>
                <w:color w:val="000000"/>
                <w:kern w:val="0"/>
                <w:sz w:val="18"/>
                <w:szCs w:val="18"/>
                <w:lang w:val="es-CO" w:eastAsia="es-CO"/>
                <w14:ligatures w14:val="none"/>
              </w:rPr>
            </w:pPr>
            <w:r w:rsidRPr="00A5621C">
              <w:rPr>
                <w:rFonts w:ascii="Nunito" w:eastAsia="Times New Roman" w:hAnsi="Nunito" w:cs="Calibri"/>
                <w:color w:val="000000"/>
                <w:kern w:val="0"/>
                <w:sz w:val="18"/>
                <w:szCs w:val="18"/>
                <w:lang w:eastAsia="es-CO"/>
                <w14:ligatures w14:val="none"/>
              </w:rPr>
              <w:t>Valle del Cauca</w:t>
            </w:r>
          </w:p>
        </w:tc>
        <w:tc>
          <w:tcPr>
            <w:tcW w:w="2720" w:type="dxa"/>
            <w:tcBorders>
              <w:top w:val="nil"/>
              <w:left w:val="nil"/>
              <w:bottom w:val="single" w:sz="4" w:space="0" w:color="auto"/>
              <w:right w:val="single" w:sz="4" w:space="0" w:color="auto"/>
            </w:tcBorders>
            <w:shd w:val="clear" w:color="auto" w:fill="auto"/>
            <w:vAlign w:val="center"/>
            <w:hideMark/>
          </w:tcPr>
          <w:p w14:paraId="4179782A" w14:textId="77777777" w:rsidR="00346B76" w:rsidRPr="00A5621C" w:rsidRDefault="00346B76" w:rsidP="00346B76">
            <w:pPr>
              <w:spacing w:after="0" w:line="240" w:lineRule="auto"/>
              <w:jc w:val="center"/>
              <w:rPr>
                <w:rFonts w:ascii="Nunito" w:eastAsia="Times New Roman" w:hAnsi="Nunito" w:cs="Calibri"/>
                <w:color w:val="000000"/>
                <w:kern w:val="0"/>
                <w:sz w:val="18"/>
                <w:szCs w:val="18"/>
                <w:lang w:val="es-CO" w:eastAsia="es-CO"/>
                <w14:ligatures w14:val="none"/>
              </w:rPr>
            </w:pPr>
            <w:r w:rsidRPr="00A5621C">
              <w:rPr>
                <w:rFonts w:ascii="Nunito" w:eastAsia="Times New Roman" w:hAnsi="Nunito" w:cs="Calibri"/>
                <w:color w:val="000000"/>
                <w:kern w:val="0"/>
                <w:sz w:val="18"/>
                <w:szCs w:val="18"/>
                <w:lang w:eastAsia="es-CO"/>
                <w14:ligatures w14:val="none"/>
              </w:rPr>
              <w:t>Yumbo</w:t>
            </w:r>
          </w:p>
        </w:tc>
      </w:tr>
    </w:tbl>
    <w:p w14:paraId="20827DC0" w14:textId="6449A182" w:rsidR="001635D5" w:rsidRDefault="001635D5" w:rsidP="001635D5">
      <w:pPr>
        <w:spacing w:after="0" w:line="240" w:lineRule="auto"/>
        <w:jc w:val="center"/>
        <w:rPr>
          <w:rFonts w:ascii="Nunito" w:hAnsi="Nunito"/>
          <w:sz w:val="18"/>
          <w:szCs w:val="18"/>
        </w:rPr>
      </w:pPr>
      <w:r w:rsidRPr="00A5621C">
        <w:rPr>
          <w:rFonts w:ascii="Nunito" w:hAnsi="Nunito"/>
          <w:b/>
          <w:sz w:val="18"/>
          <w:szCs w:val="18"/>
        </w:rPr>
        <w:t>Fuente:</w:t>
      </w:r>
      <w:r w:rsidRPr="00A5621C">
        <w:rPr>
          <w:rFonts w:ascii="Nunito" w:hAnsi="Nunito"/>
          <w:sz w:val="18"/>
          <w:szCs w:val="18"/>
        </w:rPr>
        <w:t xml:space="preserve"> Resolución UPME Resolución MME 40702 de 2019.</w:t>
      </w:r>
    </w:p>
    <w:p w14:paraId="1E8A2BD1" w14:textId="77777777" w:rsidR="00CB31A7" w:rsidRPr="00A5621C" w:rsidRDefault="00CB31A7" w:rsidP="001635D5">
      <w:pPr>
        <w:spacing w:after="0" w:line="240" w:lineRule="auto"/>
        <w:jc w:val="center"/>
        <w:rPr>
          <w:rFonts w:ascii="Nunito" w:hAnsi="Nunito"/>
          <w:sz w:val="18"/>
          <w:szCs w:val="18"/>
        </w:rPr>
      </w:pPr>
    </w:p>
    <w:p w14:paraId="4607AB7A" w14:textId="3B273308" w:rsidR="002431CC" w:rsidRPr="0056508C" w:rsidRDefault="002431CC" w:rsidP="00A5621C">
      <w:pPr>
        <w:spacing w:after="0" w:line="240" w:lineRule="auto"/>
        <w:jc w:val="both"/>
        <w:rPr>
          <w:rFonts w:ascii="Nunito" w:hAnsi="Nunito"/>
          <w:sz w:val="22"/>
          <w:szCs w:val="22"/>
        </w:rPr>
      </w:pPr>
      <w:r w:rsidRPr="0056508C">
        <w:rPr>
          <w:rFonts w:ascii="Nunito" w:hAnsi="Nunito"/>
          <w:sz w:val="18"/>
          <w:szCs w:val="18"/>
        </w:rPr>
        <w:t>PARÁGRAFO. En la medida en que entren en operación nuevas plantas de abastecimiento mayoristas en el departamento de Nariño, previamente aprobadas e incluidas en el respectivo plan de abastecimiento de combustibles por la Dirección de Hidrocarburos, el Ministerio de Minas y Energía podrá catalogar los municipios en los que estas se ubiquen, como Zonas de Origen, y por tanto se les fijará el respectivo valor de compensación de acuerdo con su ubicación geográfica y condiciones logísticas particulares.</w:t>
      </w:r>
      <w:r w:rsidRPr="0056508C">
        <w:rPr>
          <w:rFonts w:ascii="Nunito" w:hAnsi="Nunito"/>
          <w:sz w:val="22"/>
          <w:szCs w:val="22"/>
        </w:rPr>
        <w:t xml:space="preserve"> </w:t>
      </w:r>
    </w:p>
    <w:p w14:paraId="7B7DA94B" w14:textId="77777777" w:rsidR="00EA0007" w:rsidRPr="00A5621C" w:rsidRDefault="00EA0007" w:rsidP="00A5621C">
      <w:pPr>
        <w:spacing w:after="0"/>
        <w:jc w:val="both"/>
        <w:rPr>
          <w:rFonts w:ascii="Nunito" w:hAnsi="Nunito"/>
          <w:sz w:val="22"/>
          <w:szCs w:val="22"/>
        </w:rPr>
      </w:pPr>
    </w:p>
    <w:p w14:paraId="4E08FB32" w14:textId="77777777" w:rsidR="002431CC" w:rsidRPr="00A5621C" w:rsidRDefault="002431CC" w:rsidP="008F6D38">
      <w:pPr>
        <w:spacing w:after="0"/>
        <w:jc w:val="both"/>
        <w:rPr>
          <w:rFonts w:ascii="Nunito" w:hAnsi="Nunito"/>
          <w:sz w:val="22"/>
          <w:szCs w:val="22"/>
        </w:rPr>
      </w:pPr>
      <w:r w:rsidRPr="00A5621C">
        <w:rPr>
          <w:rFonts w:ascii="Nunito" w:hAnsi="Nunito"/>
          <w:sz w:val="22"/>
          <w:szCs w:val="22"/>
        </w:rPr>
        <w:t>La dinámica de transporte expuesta genera costos de compensación de transporte y costos de asignación de cupos de zona fronteriza, que representan los costos en lo que incurre el país dado que no existe una infraestructura de red de transporte por Poliducto que abastezca a los municipios colindantes al tramo Yumbo–Pasto.</w:t>
      </w:r>
    </w:p>
    <w:p w14:paraId="1E39CEDE" w14:textId="77777777" w:rsidR="00EA0007" w:rsidRPr="00A5621C" w:rsidRDefault="00EA0007" w:rsidP="00A5621C">
      <w:pPr>
        <w:spacing w:after="0"/>
        <w:jc w:val="both"/>
        <w:rPr>
          <w:rFonts w:ascii="Nunito" w:hAnsi="Nunito"/>
          <w:sz w:val="22"/>
          <w:szCs w:val="22"/>
        </w:rPr>
      </w:pPr>
    </w:p>
    <w:p w14:paraId="49999384" w14:textId="7D4DD802" w:rsidR="002431CC" w:rsidRPr="00A5621C" w:rsidRDefault="002431CC" w:rsidP="008F6D38">
      <w:pPr>
        <w:spacing w:after="0"/>
        <w:jc w:val="both"/>
        <w:rPr>
          <w:rFonts w:ascii="Nunito" w:hAnsi="Nunito"/>
          <w:sz w:val="22"/>
          <w:szCs w:val="22"/>
        </w:rPr>
      </w:pPr>
      <w:r w:rsidRPr="00A5621C">
        <w:rPr>
          <w:rFonts w:ascii="Nunito" w:hAnsi="Nunito"/>
          <w:sz w:val="22"/>
          <w:szCs w:val="22"/>
        </w:rPr>
        <w:t>A partir de la información suministrada por el MME en lo particular a la liquidación de los costos de compensación por transporte terrestre de combustibles líquidos y GLP, traído a Valor Presente Neto (VPN) ha representado para el país un costo estimado de 67.72 MUSD en los últimos 5 años, lo cual representa alrededor de un 17% del costo indicativo estimado para la infraestructura de poliducto Yumbo-Pasto, el cual se ha estimado alrededor de 402.7 MUSD, como se detalla</w:t>
      </w:r>
      <w:r w:rsidR="00AC5B74">
        <w:rPr>
          <w:rFonts w:ascii="Nunito" w:hAnsi="Nunito"/>
          <w:sz w:val="22"/>
          <w:szCs w:val="22"/>
        </w:rPr>
        <w:t>rá</w:t>
      </w:r>
      <w:r w:rsidRPr="00A5621C">
        <w:rPr>
          <w:rFonts w:ascii="Nunito" w:hAnsi="Nunito"/>
          <w:sz w:val="22"/>
          <w:szCs w:val="22"/>
        </w:rPr>
        <w:t xml:space="preserve"> más adelanta:</w:t>
      </w:r>
    </w:p>
    <w:p w14:paraId="40DFD281" w14:textId="77777777" w:rsidR="00EA0007" w:rsidRPr="00A5621C" w:rsidRDefault="00EA0007" w:rsidP="00A5621C">
      <w:pPr>
        <w:spacing w:after="0"/>
        <w:jc w:val="both"/>
        <w:rPr>
          <w:rFonts w:ascii="Nunito" w:hAnsi="Nunito"/>
          <w:sz w:val="22"/>
          <w:szCs w:val="22"/>
        </w:rPr>
      </w:pPr>
    </w:p>
    <w:p w14:paraId="23BD0D71" w14:textId="77777777" w:rsidR="002431CC" w:rsidRPr="00A5621C" w:rsidRDefault="002431CC" w:rsidP="00A5621C">
      <w:pPr>
        <w:spacing w:after="0"/>
        <w:jc w:val="center"/>
        <w:rPr>
          <w:rFonts w:ascii="Nunito" w:hAnsi="Nunito"/>
          <w:b/>
          <w:sz w:val="22"/>
          <w:szCs w:val="22"/>
        </w:rPr>
      </w:pPr>
      <w:r w:rsidRPr="00A5621C">
        <w:rPr>
          <w:rFonts w:ascii="Nunito" w:hAnsi="Nunito"/>
          <w:b/>
          <w:sz w:val="22"/>
          <w:szCs w:val="22"/>
        </w:rPr>
        <w:t>Tabla 2: VPN de compensación total combustibles líquidos + Compensación GLP para el período 2020 a 2024</w:t>
      </w:r>
    </w:p>
    <w:tbl>
      <w:tblPr>
        <w:tblW w:w="7467" w:type="dxa"/>
        <w:jc w:val="center"/>
        <w:tblCellMar>
          <w:left w:w="70" w:type="dxa"/>
          <w:right w:w="70" w:type="dxa"/>
        </w:tblCellMar>
        <w:tblLook w:val="04A0" w:firstRow="1" w:lastRow="0" w:firstColumn="1" w:lastColumn="0" w:noHBand="0" w:noVBand="1"/>
      </w:tblPr>
      <w:tblGrid>
        <w:gridCol w:w="1290"/>
        <w:gridCol w:w="2341"/>
        <w:gridCol w:w="2031"/>
        <w:gridCol w:w="1805"/>
      </w:tblGrid>
      <w:tr w:rsidR="00B123BF" w:rsidRPr="00BC547D" w14:paraId="34746C4B" w14:textId="77777777" w:rsidTr="00A5621C">
        <w:trPr>
          <w:trHeight w:val="316"/>
          <w:tblHeader/>
          <w:jc w:val="center"/>
        </w:trPr>
        <w:tc>
          <w:tcPr>
            <w:tcW w:w="1290" w:type="dxa"/>
            <w:tcBorders>
              <w:top w:val="single" w:sz="4" w:space="0" w:color="000000"/>
              <w:left w:val="single" w:sz="4" w:space="0" w:color="000000"/>
              <w:bottom w:val="single" w:sz="4" w:space="0" w:color="000000"/>
              <w:right w:val="single" w:sz="4" w:space="0" w:color="000000"/>
            </w:tcBorders>
            <w:shd w:val="clear" w:color="auto" w:fill="E2EFD9" w:themeFill="accent6" w:themeFillTint="33"/>
            <w:noWrap/>
            <w:vAlign w:val="center"/>
            <w:hideMark/>
          </w:tcPr>
          <w:p w14:paraId="26B95D67" w14:textId="77777777" w:rsidR="002431CC" w:rsidRPr="00A5621C" w:rsidRDefault="002431CC" w:rsidP="00A5621C">
            <w:pPr>
              <w:spacing w:after="0"/>
              <w:jc w:val="center"/>
              <w:rPr>
                <w:rFonts w:ascii="Nunito" w:eastAsia="Times New Roman" w:hAnsi="Nunito"/>
                <w:b/>
                <w:bCs/>
                <w:sz w:val="18"/>
                <w:szCs w:val="18"/>
                <w:lang w:val="es-CO"/>
              </w:rPr>
            </w:pPr>
            <w:r w:rsidRPr="00A5621C">
              <w:rPr>
                <w:rFonts w:ascii="Nunito" w:eastAsia="Times New Roman" w:hAnsi="Nunito"/>
                <w:b/>
                <w:bCs/>
                <w:sz w:val="18"/>
                <w:szCs w:val="18"/>
                <w:lang w:val="es-CO"/>
              </w:rPr>
              <w:t>Año</w:t>
            </w:r>
          </w:p>
        </w:tc>
        <w:tc>
          <w:tcPr>
            <w:tcW w:w="2341" w:type="dxa"/>
            <w:tcBorders>
              <w:top w:val="single" w:sz="4" w:space="0" w:color="000000"/>
              <w:left w:val="nil"/>
              <w:bottom w:val="nil"/>
              <w:right w:val="single" w:sz="4" w:space="0" w:color="000000"/>
            </w:tcBorders>
            <w:shd w:val="clear" w:color="auto" w:fill="E2EFD9" w:themeFill="accent6" w:themeFillTint="33"/>
            <w:noWrap/>
            <w:vAlign w:val="center"/>
            <w:hideMark/>
          </w:tcPr>
          <w:p w14:paraId="3040F87C" w14:textId="7E379D56" w:rsidR="002431CC" w:rsidRPr="00A5621C" w:rsidRDefault="002431CC" w:rsidP="00A5621C">
            <w:pPr>
              <w:spacing w:after="0"/>
              <w:jc w:val="center"/>
              <w:rPr>
                <w:rFonts w:ascii="Nunito" w:eastAsia="Times New Roman" w:hAnsi="Nunito"/>
                <w:b/>
                <w:bCs/>
                <w:sz w:val="18"/>
                <w:szCs w:val="18"/>
                <w:lang w:val="es-CO"/>
              </w:rPr>
            </w:pPr>
            <w:r w:rsidRPr="00A5621C">
              <w:rPr>
                <w:rFonts w:ascii="Nunito" w:eastAsia="Times New Roman" w:hAnsi="Nunito"/>
                <w:b/>
                <w:bCs/>
                <w:sz w:val="18"/>
                <w:szCs w:val="18"/>
                <w:lang w:val="es-CO"/>
              </w:rPr>
              <w:t>Comb</w:t>
            </w:r>
            <w:r w:rsidR="00FD4EA6">
              <w:rPr>
                <w:rFonts w:ascii="Nunito" w:eastAsia="Times New Roman" w:hAnsi="Nunito"/>
                <w:b/>
                <w:bCs/>
                <w:sz w:val="18"/>
                <w:szCs w:val="18"/>
                <w:lang w:val="es-CO"/>
              </w:rPr>
              <w:t>ustibles</w:t>
            </w:r>
            <w:r w:rsidRPr="00A5621C">
              <w:rPr>
                <w:rFonts w:ascii="Nunito" w:eastAsia="Times New Roman" w:hAnsi="Nunito"/>
                <w:b/>
                <w:bCs/>
                <w:sz w:val="18"/>
                <w:szCs w:val="18"/>
                <w:lang w:val="es-CO"/>
              </w:rPr>
              <w:t>. Líquidos (USD a 2024)</w:t>
            </w:r>
          </w:p>
        </w:tc>
        <w:tc>
          <w:tcPr>
            <w:tcW w:w="2031" w:type="dxa"/>
            <w:tcBorders>
              <w:top w:val="single" w:sz="4" w:space="0" w:color="000000"/>
              <w:left w:val="nil"/>
              <w:bottom w:val="nil"/>
              <w:right w:val="single" w:sz="4" w:space="0" w:color="000000"/>
            </w:tcBorders>
            <w:shd w:val="clear" w:color="auto" w:fill="E2EFD9" w:themeFill="accent6" w:themeFillTint="33"/>
            <w:noWrap/>
            <w:vAlign w:val="center"/>
            <w:hideMark/>
          </w:tcPr>
          <w:p w14:paraId="47896C23" w14:textId="369BED45" w:rsidR="002431CC" w:rsidRPr="00A5621C" w:rsidRDefault="002431CC" w:rsidP="00A5621C">
            <w:pPr>
              <w:spacing w:after="0"/>
              <w:jc w:val="center"/>
              <w:rPr>
                <w:rFonts w:ascii="Nunito" w:eastAsia="Times New Roman" w:hAnsi="Nunito"/>
                <w:b/>
                <w:bCs/>
                <w:sz w:val="18"/>
                <w:szCs w:val="18"/>
              </w:rPr>
            </w:pPr>
            <w:r w:rsidRPr="00A5621C">
              <w:rPr>
                <w:rFonts w:ascii="Nunito" w:eastAsia="Times New Roman" w:hAnsi="Nunito"/>
                <w:b/>
                <w:bCs/>
                <w:sz w:val="18"/>
                <w:szCs w:val="18"/>
              </w:rPr>
              <w:t xml:space="preserve">GLP </w:t>
            </w:r>
          </w:p>
          <w:p w14:paraId="7E06524D" w14:textId="16EA41AB" w:rsidR="002431CC" w:rsidRPr="00A5621C" w:rsidRDefault="002431CC" w:rsidP="00A5621C">
            <w:pPr>
              <w:spacing w:after="0"/>
              <w:jc w:val="center"/>
              <w:rPr>
                <w:rFonts w:ascii="Nunito" w:eastAsia="Times New Roman" w:hAnsi="Nunito"/>
                <w:b/>
                <w:bCs/>
                <w:sz w:val="18"/>
                <w:szCs w:val="18"/>
                <w:lang w:val="es-CO"/>
              </w:rPr>
            </w:pPr>
            <w:r w:rsidRPr="00A5621C">
              <w:rPr>
                <w:rFonts w:ascii="Nunito" w:eastAsia="Times New Roman" w:hAnsi="Nunito"/>
                <w:b/>
                <w:bCs/>
                <w:sz w:val="18"/>
                <w:szCs w:val="18"/>
              </w:rPr>
              <w:t>(USD a 2024)</w:t>
            </w:r>
          </w:p>
        </w:tc>
        <w:tc>
          <w:tcPr>
            <w:tcW w:w="1805" w:type="dxa"/>
            <w:tcBorders>
              <w:top w:val="single" w:sz="4" w:space="0" w:color="000000"/>
              <w:left w:val="nil"/>
              <w:bottom w:val="nil"/>
              <w:right w:val="single" w:sz="4" w:space="0" w:color="000000"/>
            </w:tcBorders>
            <w:shd w:val="clear" w:color="auto" w:fill="E2EFD9" w:themeFill="accent6" w:themeFillTint="33"/>
            <w:noWrap/>
            <w:vAlign w:val="center"/>
            <w:hideMark/>
          </w:tcPr>
          <w:p w14:paraId="53906123" w14:textId="77777777" w:rsidR="002431CC" w:rsidRPr="00A5621C" w:rsidRDefault="002431CC" w:rsidP="00A5621C">
            <w:pPr>
              <w:spacing w:after="0"/>
              <w:jc w:val="center"/>
              <w:rPr>
                <w:rFonts w:ascii="Nunito" w:eastAsia="Times New Roman" w:hAnsi="Nunito"/>
                <w:b/>
                <w:bCs/>
                <w:sz w:val="18"/>
                <w:szCs w:val="18"/>
                <w:lang w:val="es-CO"/>
              </w:rPr>
            </w:pPr>
            <w:r w:rsidRPr="00A5621C">
              <w:rPr>
                <w:rFonts w:ascii="Nunito" w:eastAsia="Times New Roman" w:hAnsi="Nunito"/>
                <w:b/>
                <w:bCs/>
                <w:sz w:val="18"/>
                <w:szCs w:val="18"/>
                <w:lang w:val="es-CO"/>
              </w:rPr>
              <w:t xml:space="preserve">Total </w:t>
            </w:r>
          </w:p>
          <w:p w14:paraId="64EB5DA5" w14:textId="77777777" w:rsidR="002431CC" w:rsidRPr="00A5621C" w:rsidRDefault="002431CC" w:rsidP="00A5621C">
            <w:pPr>
              <w:spacing w:after="0"/>
              <w:jc w:val="center"/>
              <w:rPr>
                <w:rFonts w:ascii="Nunito" w:eastAsia="Times New Roman" w:hAnsi="Nunito"/>
                <w:b/>
                <w:bCs/>
                <w:sz w:val="18"/>
                <w:szCs w:val="18"/>
                <w:lang w:val="es-CO"/>
              </w:rPr>
            </w:pPr>
            <w:r w:rsidRPr="00A5621C">
              <w:rPr>
                <w:rFonts w:ascii="Nunito" w:eastAsia="Times New Roman" w:hAnsi="Nunito"/>
                <w:b/>
                <w:bCs/>
                <w:sz w:val="18"/>
                <w:szCs w:val="18"/>
                <w:lang w:val="es-CO"/>
              </w:rPr>
              <w:t>(USD a 2024)</w:t>
            </w:r>
          </w:p>
        </w:tc>
      </w:tr>
      <w:tr w:rsidR="007757AF" w:rsidRPr="007757AF" w14:paraId="43D8D3CB" w14:textId="77777777" w:rsidTr="00A5621C">
        <w:trPr>
          <w:trHeight w:val="316"/>
          <w:jc w:val="center"/>
        </w:trPr>
        <w:tc>
          <w:tcPr>
            <w:tcW w:w="1290" w:type="dxa"/>
            <w:tcBorders>
              <w:top w:val="nil"/>
              <w:left w:val="single" w:sz="4" w:space="0" w:color="000000"/>
              <w:bottom w:val="single" w:sz="4" w:space="0" w:color="000000"/>
              <w:right w:val="single" w:sz="4" w:space="0" w:color="000000"/>
            </w:tcBorders>
            <w:shd w:val="clear" w:color="auto" w:fill="FFFFFF" w:themeFill="background1"/>
            <w:noWrap/>
            <w:vAlign w:val="center"/>
            <w:hideMark/>
          </w:tcPr>
          <w:p w14:paraId="716B3B8E" w14:textId="77777777" w:rsidR="002431CC" w:rsidRPr="00A5621C" w:rsidRDefault="002431CC" w:rsidP="00A5621C">
            <w:pPr>
              <w:spacing w:after="0"/>
              <w:jc w:val="center"/>
              <w:rPr>
                <w:rFonts w:ascii="Nunito" w:eastAsia="Times New Roman" w:hAnsi="Nunito"/>
                <w:b/>
                <w:bCs/>
                <w:sz w:val="18"/>
                <w:szCs w:val="18"/>
                <w:lang w:val="es-CO"/>
              </w:rPr>
            </w:pPr>
            <w:r w:rsidRPr="00A5621C">
              <w:rPr>
                <w:rFonts w:ascii="Nunito" w:eastAsia="Times New Roman" w:hAnsi="Nunito"/>
                <w:b/>
                <w:bCs/>
                <w:sz w:val="18"/>
                <w:szCs w:val="18"/>
                <w:lang w:val="es-CO"/>
              </w:rPr>
              <w:t>2020</w:t>
            </w:r>
          </w:p>
        </w:tc>
        <w:tc>
          <w:tcPr>
            <w:tcW w:w="2341" w:type="dxa"/>
            <w:tcBorders>
              <w:top w:val="single" w:sz="4" w:space="0" w:color="auto"/>
              <w:left w:val="single" w:sz="4" w:space="0" w:color="auto"/>
              <w:bottom w:val="single" w:sz="4" w:space="0" w:color="auto"/>
              <w:right w:val="single" w:sz="4" w:space="0" w:color="auto"/>
            </w:tcBorders>
            <w:shd w:val="clear" w:color="auto" w:fill="FFFFFF" w:themeFill="background1"/>
            <w:noWrap/>
            <w:vAlign w:val="bottom"/>
            <w:hideMark/>
          </w:tcPr>
          <w:p w14:paraId="39D8AD46" w14:textId="77777777" w:rsidR="002431CC" w:rsidRPr="00A5621C" w:rsidRDefault="002431CC" w:rsidP="00A5621C">
            <w:pPr>
              <w:spacing w:after="0"/>
              <w:jc w:val="right"/>
              <w:rPr>
                <w:rFonts w:ascii="Nunito" w:eastAsia="Times New Roman" w:hAnsi="Nunito"/>
                <w:sz w:val="18"/>
                <w:szCs w:val="18"/>
                <w:lang w:val="es-CO"/>
              </w:rPr>
            </w:pPr>
            <w:r w:rsidRPr="00A5621C">
              <w:rPr>
                <w:rFonts w:ascii="Nunito" w:eastAsia="Times New Roman" w:hAnsi="Nunito"/>
                <w:sz w:val="18"/>
                <w:szCs w:val="18"/>
                <w:lang w:val="es-CO"/>
              </w:rPr>
              <w:t xml:space="preserve"> $   1.032.598,79 </w:t>
            </w:r>
          </w:p>
        </w:tc>
        <w:tc>
          <w:tcPr>
            <w:tcW w:w="2031" w:type="dxa"/>
            <w:tcBorders>
              <w:top w:val="single" w:sz="4" w:space="0" w:color="auto"/>
              <w:left w:val="nil"/>
              <w:bottom w:val="single" w:sz="4" w:space="0" w:color="auto"/>
              <w:right w:val="single" w:sz="4" w:space="0" w:color="auto"/>
            </w:tcBorders>
            <w:shd w:val="clear" w:color="auto" w:fill="FFFFFF" w:themeFill="background1"/>
            <w:noWrap/>
            <w:vAlign w:val="bottom"/>
            <w:hideMark/>
          </w:tcPr>
          <w:p w14:paraId="487C257B" w14:textId="77777777" w:rsidR="002431CC" w:rsidRPr="00A5621C" w:rsidRDefault="002431CC" w:rsidP="00A5621C">
            <w:pPr>
              <w:spacing w:after="0"/>
              <w:jc w:val="right"/>
              <w:rPr>
                <w:rFonts w:ascii="Nunito" w:eastAsia="Times New Roman" w:hAnsi="Nunito"/>
                <w:sz w:val="18"/>
                <w:szCs w:val="18"/>
                <w:lang w:val="es-CO"/>
              </w:rPr>
            </w:pPr>
            <w:r w:rsidRPr="00A5621C">
              <w:rPr>
                <w:rFonts w:ascii="Nunito" w:eastAsia="Times New Roman" w:hAnsi="Nunito"/>
                <w:sz w:val="18"/>
                <w:szCs w:val="18"/>
              </w:rPr>
              <w:t xml:space="preserve"> No aplica </w:t>
            </w:r>
          </w:p>
        </w:tc>
        <w:tc>
          <w:tcPr>
            <w:tcW w:w="1805" w:type="dxa"/>
            <w:tcBorders>
              <w:top w:val="single" w:sz="4" w:space="0" w:color="auto"/>
              <w:left w:val="nil"/>
              <w:bottom w:val="single" w:sz="4" w:space="0" w:color="auto"/>
              <w:right w:val="single" w:sz="4" w:space="0" w:color="auto"/>
            </w:tcBorders>
            <w:shd w:val="clear" w:color="auto" w:fill="FFFFFF" w:themeFill="background1"/>
            <w:noWrap/>
            <w:vAlign w:val="bottom"/>
            <w:hideMark/>
          </w:tcPr>
          <w:p w14:paraId="5DB6AB5C" w14:textId="77777777" w:rsidR="002431CC" w:rsidRPr="00A5621C" w:rsidRDefault="002431CC" w:rsidP="00A5621C">
            <w:pPr>
              <w:spacing w:after="0"/>
              <w:jc w:val="right"/>
              <w:rPr>
                <w:rFonts w:ascii="Nunito" w:eastAsia="Times New Roman" w:hAnsi="Nunito"/>
                <w:sz w:val="18"/>
                <w:szCs w:val="18"/>
                <w:lang w:val="es-CO"/>
              </w:rPr>
            </w:pPr>
            <w:r w:rsidRPr="00A5621C">
              <w:rPr>
                <w:rFonts w:ascii="Nunito" w:eastAsia="Times New Roman" w:hAnsi="Nunito"/>
                <w:sz w:val="18"/>
                <w:szCs w:val="18"/>
                <w:lang w:val="es-CO"/>
              </w:rPr>
              <w:t xml:space="preserve"> $    1.032.598,79 </w:t>
            </w:r>
          </w:p>
        </w:tc>
      </w:tr>
      <w:tr w:rsidR="007757AF" w:rsidRPr="007757AF" w14:paraId="03FA9309" w14:textId="77777777" w:rsidTr="00A5621C">
        <w:trPr>
          <w:trHeight w:val="316"/>
          <w:jc w:val="center"/>
        </w:trPr>
        <w:tc>
          <w:tcPr>
            <w:tcW w:w="1290" w:type="dxa"/>
            <w:tcBorders>
              <w:top w:val="nil"/>
              <w:left w:val="single" w:sz="4" w:space="0" w:color="000000"/>
              <w:bottom w:val="single" w:sz="4" w:space="0" w:color="000000"/>
              <w:right w:val="single" w:sz="4" w:space="0" w:color="000000"/>
            </w:tcBorders>
            <w:shd w:val="clear" w:color="auto" w:fill="FFFFFF" w:themeFill="background1"/>
            <w:noWrap/>
            <w:vAlign w:val="center"/>
            <w:hideMark/>
          </w:tcPr>
          <w:p w14:paraId="7041F7BF" w14:textId="77777777" w:rsidR="002431CC" w:rsidRPr="00A5621C" w:rsidRDefault="002431CC" w:rsidP="00A5621C">
            <w:pPr>
              <w:spacing w:after="0"/>
              <w:jc w:val="center"/>
              <w:rPr>
                <w:rFonts w:ascii="Nunito" w:eastAsia="Times New Roman" w:hAnsi="Nunito"/>
                <w:b/>
                <w:bCs/>
                <w:sz w:val="18"/>
                <w:szCs w:val="18"/>
                <w:lang w:val="es-CO"/>
              </w:rPr>
            </w:pPr>
            <w:r w:rsidRPr="00A5621C">
              <w:rPr>
                <w:rFonts w:ascii="Nunito" w:eastAsia="Times New Roman" w:hAnsi="Nunito"/>
                <w:b/>
                <w:bCs/>
                <w:sz w:val="18"/>
                <w:szCs w:val="18"/>
                <w:lang w:val="es-CO"/>
              </w:rPr>
              <w:t>2021</w:t>
            </w:r>
          </w:p>
        </w:tc>
        <w:tc>
          <w:tcPr>
            <w:tcW w:w="2341" w:type="dxa"/>
            <w:tcBorders>
              <w:top w:val="nil"/>
              <w:left w:val="single" w:sz="4" w:space="0" w:color="auto"/>
              <w:bottom w:val="single" w:sz="4" w:space="0" w:color="auto"/>
              <w:right w:val="single" w:sz="4" w:space="0" w:color="auto"/>
            </w:tcBorders>
            <w:shd w:val="clear" w:color="auto" w:fill="FFFFFF" w:themeFill="background1"/>
            <w:noWrap/>
            <w:vAlign w:val="bottom"/>
            <w:hideMark/>
          </w:tcPr>
          <w:p w14:paraId="2DCA54E5" w14:textId="77777777" w:rsidR="002431CC" w:rsidRPr="00A5621C" w:rsidRDefault="002431CC" w:rsidP="00A5621C">
            <w:pPr>
              <w:spacing w:after="0"/>
              <w:jc w:val="right"/>
              <w:rPr>
                <w:rFonts w:ascii="Nunito" w:eastAsia="Times New Roman" w:hAnsi="Nunito"/>
                <w:sz w:val="18"/>
                <w:szCs w:val="18"/>
                <w:lang w:val="es-CO"/>
              </w:rPr>
            </w:pPr>
            <w:r w:rsidRPr="00A5621C">
              <w:rPr>
                <w:rFonts w:ascii="Nunito" w:eastAsia="Times New Roman" w:hAnsi="Nunito"/>
                <w:sz w:val="18"/>
                <w:szCs w:val="18"/>
                <w:lang w:val="es-CO"/>
              </w:rPr>
              <w:t xml:space="preserve"> $   8.342.219,80 </w:t>
            </w:r>
          </w:p>
        </w:tc>
        <w:tc>
          <w:tcPr>
            <w:tcW w:w="2031" w:type="dxa"/>
            <w:tcBorders>
              <w:top w:val="nil"/>
              <w:left w:val="nil"/>
              <w:bottom w:val="single" w:sz="4" w:space="0" w:color="auto"/>
              <w:right w:val="single" w:sz="4" w:space="0" w:color="auto"/>
            </w:tcBorders>
            <w:shd w:val="clear" w:color="auto" w:fill="FFFFFF" w:themeFill="background1"/>
            <w:noWrap/>
            <w:vAlign w:val="bottom"/>
            <w:hideMark/>
          </w:tcPr>
          <w:p w14:paraId="4627AE6E" w14:textId="77777777" w:rsidR="002431CC" w:rsidRPr="00A5621C" w:rsidRDefault="002431CC" w:rsidP="00A5621C">
            <w:pPr>
              <w:spacing w:after="0"/>
              <w:jc w:val="right"/>
              <w:rPr>
                <w:rFonts w:ascii="Nunito" w:eastAsia="Times New Roman" w:hAnsi="Nunito"/>
                <w:sz w:val="18"/>
                <w:szCs w:val="18"/>
                <w:lang w:val="es-CO"/>
              </w:rPr>
            </w:pPr>
            <w:r w:rsidRPr="00A5621C">
              <w:rPr>
                <w:rFonts w:ascii="Nunito" w:eastAsia="Times New Roman" w:hAnsi="Nunito"/>
                <w:sz w:val="18"/>
                <w:szCs w:val="18"/>
              </w:rPr>
              <w:t xml:space="preserve"> </w:t>
            </w:r>
            <w:proofErr w:type="gramStart"/>
            <w:r w:rsidRPr="00A5621C">
              <w:rPr>
                <w:rFonts w:ascii="Nunito" w:eastAsia="Times New Roman" w:hAnsi="Nunito"/>
                <w:sz w:val="18"/>
                <w:szCs w:val="18"/>
              </w:rPr>
              <w:t>$  1.915.339</w:t>
            </w:r>
            <w:proofErr w:type="gramEnd"/>
            <w:r w:rsidRPr="00A5621C">
              <w:rPr>
                <w:rFonts w:ascii="Nunito" w:eastAsia="Times New Roman" w:hAnsi="Nunito"/>
                <w:sz w:val="18"/>
                <w:szCs w:val="18"/>
              </w:rPr>
              <w:t xml:space="preserve">,26 </w:t>
            </w:r>
          </w:p>
        </w:tc>
        <w:tc>
          <w:tcPr>
            <w:tcW w:w="1805" w:type="dxa"/>
            <w:tcBorders>
              <w:top w:val="nil"/>
              <w:left w:val="nil"/>
              <w:bottom w:val="single" w:sz="4" w:space="0" w:color="auto"/>
              <w:right w:val="single" w:sz="4" w:space="0" w:color="auto"/>
            </w:tcBorders>
            <w:shd w:val="clear" w:color="auto" w:fill="FFFFFF" w:themeFill="background1"/>
            <w:noWrap/>
            <w:vAlign w:val="bottom"/>
            <w:hideMark/>
          </w:tcPr>
          <w:p w14:paraId="7B5B989C" w14:textId="77777777" w:rsidR="002431CC" w:rsidRPr="00A5621C" w:rsidRDefault="002431CC" w:rsidP="00A5621C">
            <w:pPr>
              <w:spacing w:after="0"/>
              <w:jc w:val="right"/>
              <w:rPr>
                <w:rFonts w:ascii="Nunito" w:eastAsia="Times New Roman" w:hAnsi="Nunito"/>
                <w:sz w:val="18"/>
                <w:szCs w:val="18"/>
                <w:lang w:val="es-CO"/>
              </w:rPr>
            </w:pPr>
            <w:r w:rsidRPr="00A5621C">
              <w:rPr>
                <w:rFonts w:ascii="Nunito" w:eastAsia="Times New Roman" w:hAnsi="Nunito"/>
                <w:sz w:val="18"/>
                <w:szCs w:val="18"/>
                <w:lang w:val="es-CO"/>
              </w:rPr>
              <w:t xml:space="preserve"> $  10.257.559,06 </w:t>
            </w:r>
          </w:p>
        </w:tc>
      </w:tr>
      <w:tr w:rsidR="007757AF" w:rsidRPr="007757AF" w14:paraId="5458710C" w14:textId="77777777" w:rsidTr="00A5621C">
        <w:trPr>
          <w:trHeight w:val="316"/>
          <w:jc w:val="center"/>
        </w:trPr>
        <w:tc>
          <w:tcPr>
            <w:tcW w:w="1290" w:type="dxa"/>
            <w:tcBorders>
              <w:top w:val="nil"/>
              <w:left w:val="single" w:sz="4" w:space="0" w:color="000000"/>
              <w:bottom w:val="single" w:sz="4" w:space="0" w:color="000000"/>
              <w:right w:val="single" w:sz="4" w:space="0" w:color="000000"/>
            </w:tcBorders>
            <w:shd w:val="clear" w:color="auto" w:fill="FFFFFF" w:themeFill="background1"/>
            <w:noWrap/>
            <w:vAlign w:val="center"/>
            <w:hideMark/>
          </w:tcPr>
          <w:p w14:paraId="3EE76536" w14:textId="77777777" w:rsidR="002431CC" w:rsidRPr="00A5621C" w:rsidRDefault="002431CC" w:rsidP="00A5621C">
            <w:pPr>
              <w:spacing w:after="0"/>
              <w:jc w:val="center"/>
              <w:rPr>
                <w:rFonts w:ascii="Nunito" w:eastAsia="Times New Roman" w:hAnsi="Nunito"/>
                <w:b/>
                <w:bCs/>
                <w:sz w:val="18"/>
                <w:szCs w:val="18"/>
                <w:lang w:val="es-CO"/>
              </w:rPr>
            </w:pPr>
            <w:r w:rsidRPr="00A5621C">
              <w:rPr>
                <w:rFonts w:ascii="Nunito" w:eastAsia="Times New Roman" w:hAnsi="Nunito"/>
                <w:b/>
                <w:bCs/>
                <w:sz w:val="18"/>
                <w:szCs w:val="18"/>
                <w:lang w:val="es-CO"/>
              </w:rPr>
              <w:t>2022</w:t>
            </w:r>
          </w:p>
        </w:tc>
        <w:tc>
          <w:tcPr>
            <w:tcW w:w="2341" w:type="dxa"/>
            <w:tcBorders>
              <w:top w:val="nil"/>
              <w:left w:val="single" w:sz="4" w:space="0" w:color="auto"/>
              <w:bottom w:val="single" w:sz="4" w:space="0" w:color="auto"/>
              <w:right w:val="single" w:sz="4" w:space="0" w:color="auto"/>
            </w:tcBorders>
            <w:shd w:val="clear" w:color="auto" w:fill="FFFFFF" w:themeFill="background1"/>
            <w:noWrap/>
            <w:vAlign w:val="bottom"/>
            <w:hideMark/>
          </w:tcPr>
          <w:p w14:paraId="4E229126" w14:textId="77777777" w:rsidR="002431CC" w:rsidRPr="00A5621C" w:rsidRDefault="002431CC" w:rsidP="00A5621C">
            <w:pPr>
              <w:spacing w:after="0"/>
              <w:jc w:val="right"/>
              <w:rPr>
                <w:rFonts w:ascii="Nunito" w:eastAsia="Times New Roman" w:hAnsi="Nunito"/>
                <w:sz w:val="18"/>
                <w:szCs w:val="18"/>
                <w:lang w:val="es-CO"/>
              </w:rPr>
            </w:pPr>
            <w:r w:rsidRPr="00A5621C">
              <w:rPr>
                <w:rFonts w:ascii="Nunito" w:eastAsia="Times New Roman" w:hAnsi="Nunito"/>
                <w:sz w:val="18"/>
                <w:szCs w:val="18"/>
                <w:lang w:val="es-CO"/>
              </w:rPr>
              <w:t xml:space="preserve"> $  13.260.926,68 </w:t>
            </w:r>
          </w:p>
        </w:tc>
        <w:tc>
          <w:tcPr>
            <w:tcW w:w="2031" w:type="dxa"/>
            <w:tcBorders>
              <w:top w:val="nil"/>
              <w:left w:val="nil"/>
              <w:bottom w:val="single" w:sz="4" w:space="0" w:color="auto"/>
              <w:right w:val="single" w:sz="4" w:space="0" w:color="auto"/>
            </w:tcBorders>
            <w:shd w:val="clear" w:color="auto" w:fill="FFFFFF" w:themeFill="background1"/>
            <w:noWrap/>
            <w:vAlign w:val="bottom"/>
            <w:hideMark/>
          </w:tcPr>
          <w:p w14:paraId="1F27320D" w14:textId="77777777" w:rsidR="002431CC" w:rsidRPr="00A5621C" w:rsidRDefault="002431CC" w:rsidP="00A5621C">
            <w:pPr>
              <w:spacing w:after="0"/>
              <w:jc w:val="right"/>
              <w:rPr>
                <w:rFonts w:ascii="Nunito" w:eastAsia="Times New Roman" w:hAnsi="Nunito"/>
                <w:sz w:val="18"/>
                <w:szCs w:val="18"/>
                <w:lang w:val="es-CO"/>
              </w:rPr>
            </w:pPr>
            <w:r w:rsidRPr="00A5621C">
              <w:rPr>
                <w:rFonts w:ascii="Nunito" w:eastAsia="Times New Roman" w:hAnsi="Nunito"/>
                <w:sz w:val="18"/>
                <w:szCs w:val="18"/>
              </w:rPr>
              <w:t xml:space="preserve"> $    2.695.542,96 </w:t>
            </w:r>
          </w:p>
        </w:tc>
        <w:tc>
          <w:tcPr>
            <w:tcW w:w="1805" w:type="dxa"/>
            <w:tcBorders>
              <w:top w:val="nil"/>
              <w:left w:val="nil"/>
              <w:bottom w:val="single" w:sz="4" w:space="0" w:color="auto"/>
              <w:right w:val="single" w:sz="4" w:space="0" w:color="auto"/>
            </w:tcBorders>
            <w:shd w:val="clear" w:color="auto" w:fill="FFFFFF" w:themeFill="background1"/>
            <w:noWrap/>
            <w:vAlign w:val="bottom"/>
            <w:hideMark/>
          </w:tcPr>
          <w:p w14:paraId="3DB7EEFF" w14:textId="77777777" w:rsidR="002431CC" w:rsidRPr="00A5621C" w:rsidRDefault="002431CC" w:rsidP="00A5621C">
            <w:pPr>
              <w:spacing w:after="0"/>
              <w:jc w:val="right"/>
              <w:rPr>
                <w:rFonts w:ascii="Nunito" w:eastAsia="Times New Roman" w:hAnsi="Nunito"/>
                <w:sz w:val="18"/>
                <w:szCs w:val="18"/>
                <w:lang w:val="es-CO"/>
              </w:rPr>
            </w:pPr>
            <w:r w:rsidRPr="00A5621C">
              <w:rPr>
                <w:rFonts w:ascii="Nunito" w:eastAsia="Times New Roman" w:hAnsi="Nunito"/>
                <w:sz w:val="18"/>
                <w:szCs w:val="18"/>
                <w:lang w:val="es-CO"/>
              </w:rPr>
              <w:t xml:space="preserve"> $  15.956.469,64 </w:t>
            </w:r>
          </w:p>
        </w:tc>
      </w:tr>
      <w:tr w:rsidR="007757AF" w:rsidRPr="007757AF" w14:paraId="74C50C72" w14:textId="77777777" w:rsidTr="00A5621C">
        <w:trPr>
          <w:trHeight w:val="316"/>
          <w:jc w:val="center"/>
        </w:trPr>
        <w:tc>
          <w:tcPr>
            <w:tcW w:w="1290" w:type="dxa"/>
            <w:tcBorders>
              <w:top w:val="nil"/>
              <w:left w:val="single" w:sz="4" w:space="0" w:color="000000"/>
              <w:bottom w:val="single" w:sz="4" w:space="0" w:color="000000"/>
              <w:right w:val="single" w:sz="4" w:space="0" w:color="000000"/>
            </w:tcBorders>
            <w:shd w:val="clear" w:color="auto" w:fill="FFFFFF" w:themeFill="background1"/>
            <w:noWrap/>
            <w:vAlign w:val="center"/>
            <w:hideMark/>
          </w:tcPr>
          <w:p w14:paraId="5FF5ACFA" w14:textId="77777777" w:rsidR="002431CC" w:rsidRPr="00A5621C" w:rsidRDefault="002431CC" w:rsidP="00A5621C">
            <w:pPr>
              <w:spacing w:after="0"/>
              <w:jc w:val="center"/>
              <w:rPr>
                <w:rFonts w:ascii="Nunito" w:eastAsia="Times New Roman" w:hAnsi="Nunito"/>
                <w:b/>
                <w:bCs/>
                <w:sz w:val="18"/>
                <w:szCs w:val="18"/>
                <w:lang w:val="es-CO"/>
              </w:rPr>
            </w:pPr>
            <w:r w:rsidRPr="00A5621C">
              <w:rPr>
                <w:rFonts w:ascii="Nunito" w:eastAsia="Times New Roman" w:hAnsi="Nunito"/>
                <w:b/>
                <w:bCs/>
                <w:sz w:val="18"/>
                <w:szCs w:val="18"/>
                <w:lang w:val="es-CO"/>
              </w:rPr>
              <w:lastRenderedPageBreak/>
              <w:t>2023</w:t>
            </w:r>
          </w:p>
        </w:tc>
        <w:tc>
          <w:tcPr>
            <w:tcW w:w="2341" w:type="dxa"/>
            <w:tcBorders>
              <w:top w:val="nil"/>
              <w:left w:val="single" w:sz="4" w:space="0" w:color="auto"/>
              <w:bottom w:val="single" w:sz="4" w:space="0" w:color="auto"/>
              <w:right w:val="single" w:sz="4" w:space="0" w:color="auto"/>
            </w:tcBorders>
            <w:shd w:val="clear" w:color="auto" w:fill="FFFFFF" w:themeFill="background1"/>
            <w:noWrap/>
            <w:vAlign w:val="bottom"/>
            <w:hideMark/>
          </w:tcPr>
          <w:p w14:paraId="6EF9E7EE" w14:textId="77777777" w:rsidR="002431CC" w:rsidRPr="00A5621C" w:rsidRDefault="002431CC" w:rsidP="00A5621C">
            <w:pPr>
              <w:spacing w:after="0"/>
              <w:jc w:val="right"/>
              <w:rPr>
                <w:rFonts w:ascii="Nunito" w:eastAsia="Times New Roman" w:hAnsi="Nunito"/>
                <w:sz w:val="18"/>
                <w:szCs w:val="18"/>
                <w:lang w:val="es-CO"/>
              </w:rPr>
            </w:pPr>
            <w:r w:rsidRPr="00A5621C">
              <w:rPr>
                <w:rFonts w:ascii="Nunito" w:eastAsia="Times New Roman" w:hAnsi="Nunito"/>
                <w:sz w:val="18"/>
                <w:szCs w:val="18"/>
                <w:lang w:val="es-CO"/>
              </w:rPr>
              <w:t xml:space="preserve"> $   12.230.450,72 </w:t>
            </w:r>
          </w:p>
        </w:tc>
        <w:tc>
          <w:tcPr>
            <w:tcW w:w="2031" w:type="dxa"/>
            <w:tcBorders>
              <w:top w:val="nil"/>
              <w:left w:val="nil"/>
              <w:bottom w:val="single" w:sz="4" w:space="0" w:color="auto"/>
              <w:right w:val="single" w:sz="4" w:space="0" w:color="auto"/>
            </w:tcBorders>
            <w:shd w:val="clear" w:color="auto" w:fill="FFFFFF" w:themeFill="background1"/>
            <w:noWrap/>
            <w:vAlign w:val="bottom"/>
            <w:hideMark/>
          </w:tcPr>
          <w:p w14:paraId="044391FF" w14:textId="77777777" w:rsidR="002431CC" w:rsidRPr="00A5621C" w:rsidRDefault="002431CC" w:rsidP="00A5621C">
            <w:pPr>
              <w:spacing w:after="0"/>
              <w:jc w:val="right"/>
              <w:rPr>
                <w:rFonts w:ascii="Nunito" w:eastAsia="Times New Roman" w:hAnsi="Nunito"/>
                <w:sz w:val="18"/>
                <w:szCs w:val="18"/>
                <w:lang w:val="es-CO"/>
              </w:rPr>
            </w:pPr>
            <w:r w:rsidRPr="00A5621C">
              <w:rPr>
                <w:rFonts w:ascii="Nunito" w:eastAsia="Times New Roman" w:hAnsi="Nunito"/>
                <w:sz w:val="18"/>
                <w:szCs w:val="18"/>
              </w:rPr>
              <w:t xml:space="preserve"> $   3.103.016,14 </w:t>
            </w:r>
          </w:p>
        </w:tc>
        <w:tc>
          <w:tcPr>
            <w:tcW w:w="1805" w:type="dxa"/>
            <w:tcBorders>
              <w:top w:val="nil"/>
              <w:left w:val="nil"/>
              <w:bottom w:val="single" w:sz="4" w:space="0" w:color="auto"/>
              <w:right w:val="single" w:sz="4" w:space="0" w:color="auto"/>
            </w:tcBorders>
            <w:shd w:val="clear" w:color="auto" w:fill="FFFFFF" w:themeFill="background1"/>
            <w:noWrap/>
            <w:vAlign w:val="bottom"/>
            <w:hideMark/>
          </w:tcPr>
          <w:p w14:paraId="2F4492EB" w14:textId="77777777" w:rsidR="002431CC" w:rsidRPr="00A5621C" w:rsidRDefault="002431CC" w:rsidP="00A5621C">
            <w:pPr>
              <w:spacing w:after="0"/>
              <w:jc w:val="right"/>
              <w:rPr>
                <w:rFonts w:ascii="Nunito" w:eastAsia="Times New Roman" w:hAnsi="Nunito"/>
                <w:sz w:val="18"/>
                <w:szCs w:val="18"/>
                <w:lang w:val="es-CO"/>
              </w:rPr>
            </w:pPr>
            <w:r w:rsidRPr="00A5621C">
              <w:rPr>
                <w:rFonts w:ascii="Nunito" w:eastAsia="Times New Roman" w:hAnsi="Nunito"/>
                <w:sz w:val="18"/>
                <w:szCs w:val="18"/>
                <w:lang w:val="es-CO"/>
              </w:rPr>
              <w:t xml:space="preserve"> $  15.333.466,87 </w:t>
            </w:r>
          </w:p>
        </w:tc>
      </w:tr>
      <w:tr w:rsidR="007757AF" w:rsidRPr="007757AF" w14:paraId="3920A1A2" w14:textId="77777777" w:rsidTr="00A5621C">
        <w:trPr>
          <w:trHeight w:val="316"/>
          <w:jc w:val="center"/>
        </w:trPr>
        <w:tc>
          <w:tcPr>
            <w:tcW w:w="1290" w:type="dxa"/>
            <w:tcBorders>
              <w:top w:val="nil"/>
              <w:left w:val="single" w:sz="4" w:space="0" w:color="000000"/>
              <w:bottom w:val="single" w:sz="4" w:space="0" w:color="000000"/>
              <w:right w:val="single" w:sz="4" w:space="0" w:color="000000"/>
            </w:tcBorders>
            <w:shd w:val="clear" w:color="auto" w:fill="FFFFFF" w:themeFill="background1"/>
            <w:noWrap/>
            <w:vAlign w:val="center"/>
            <w:hideMark/>
          </w:tcPr>
          <w:p w14:paraId="467B71C4" w14:textId="77777777" w:rsidR="002431CC" w:rsidRPr="00A5621C" w:rsidRDefault="002431CC" w:rsidP="00A5621C">
            <w:pPr>
              <w:spacing w:after="0"/>
              <w:jc w:val="center"/>
              <w:rPr>
                <w:rFonts w:ascii="Nunito" w:eastAsia="Times New Roman" w:hAnsi="Nunito"/>
                <w:b/>
                <w:bCs/>
                <w:sz w:val="18"/>
                <w:szCs w:val="18"/>
                <w:lang w:val="es-CO"/>
              </w:rPr>
            </w:pPr>
            <w:r w:rsidRPr="00A5621C">
              <w:rPr>
                <w:rFonts w:ascii="Nunito" w:eastAsia="Times New Roman" w:hAnsi="Nunito"/>
                <w:b/>
                <w:bCs/>
                <w:sz w:val="18"/>
                <w:szCs w:val="18"/>
                <w:lang w:val="es-CO"/>
              </w:rPr>
              <w:t>2024</w:t>
            </w:r>
          </w:p>
        </w:tc>
        <w:tc>
          <w:tcPr>
            <w:tcW w:w="2341" w:type="dxa"/>
            <w:tcBorders>
              <w:top w:val="nil"/>
              <w:left w:val="single" w:sz="4" w:space="0" w:color="auto"/>
              <w:bottom w:val="single" w:sz="4" w:space="0" w:color="auto"/>
              <w:right w:val="single" w:sz="4" w:space="0" w:color="auto"/>
            </w:tcBorders>
            <w:shd w:val="clear" w:color="auto" w:fill="FFFFFF" w:themeFill="background1"/>
            <w:noWrap/>
            <w:vAlign w:val="bottom"/>
            <w:hideMark/>
          </w:tcPr>
          <w:p w14:paraId="08C84BE4" w14:textId="77777777" w:rsidR="002431CC" w:rsidRPr="00A5621C" w:rsidRDefault="002431CC" w:rsidP="00A5621C">
            <w:pPr>
              <w:spacing w:after="0"/>
              <w:jc w:val="right"/>
              <w:rPr>
                <w:rFonts w:ascii="Nunito" w:eastAsia="Times New Roman" w:hAnsi="Nunito"/>
                <w:sz w:val="18"/>
                <w:szCs w:val="18"/>
                <w:lang w:val="es-CO"/>
              </w:rPr>
            </w:pPr>
            <w:r w:rsidRPr="00A5621C">
              <w:rPr>
                <w:rFonts w:ascii="Nunito" w:eastAsia="Times New Roman" w:hAnsi="Nunito"/>
                <w:sz w:val="18"/>
                <w:szCs w:val="18"/>
                <w:lang w:val="es-CO"/>
              </w:rPr>
              <w:t xml:space="preserve"> $   11.789.063,45 </w:t>
            </w:r>
          </w:p>
        </w:tc>
        <w:tc>
          <w:tcPr>
            <w:tcW w:w="2031" w:type="dxa"/>
            <w:tcBorders>
              <w:top w:val="nil"/>
              <w:left w:val="nil"/>
              <w:bottom w:val="single" w:sz="4" w:space="0" w:color="auto"/>
              <w:right w:val="single" w:sz="4" w:space="0" w:color="auto"/>
            </w:tcBorders>
            <w:shd w:val="clear" w:color="auto" w:fill="FFFFFF" w:themeFill="background1"/>
            <w:noWrap/>
            <w:vAlign w:val="bottom"/>
            <w:hideMark/>
          </w:tcPr>
          <w:p w14:paraId="07141B96" w14:textId="77777777" w:rsidR="002431CC" w:rsidRPr="00A5621C" w:rsidRDefault="002431CC" w:rsidP="00A5621C">
            <w:pPr>
              <w:spacing w:after="0"/>
              <w:jc w:val="right"/>
              <w:rPr>
                <w:rFonts w:ascii="Nunito" w:eastAsia="Times New Roman" w:hAnsi="Nunito"/>
                <w:sz w:val="18"/>
                <w:szCs w:val="18"/>
                <w:lang w:val="es-CO"/>
              </w:rPr>
            </w:pPr>
            <w:r w:rsidRPr="00A5621C">
              <w:rPr>
                <w:rFonts w:ascii="Nunito" w:eastAsia="Times New Roman" w:hAnsi="Nunito"/>
                <w:sz w:val="18"/>
                <w:szCs w:val="18"/>
              </w:rPr>
              <w:t xml:space="preserve"> $     2.522.521,56 </w:t>
            </w:r>
          </w:p>
        </w:tc>
        <w:tc>
          <w:tcPr>
            <w:tcW w:w="1805" w:type="dxa"/>
            <w:tcBorders>
              <w:top w:val="nil"/>
              <w:left w:val="nil"/>
              <w:bottom w:val="single" w:sz="4" w:space="0" w:color="auto"/>
              <w:right w:val="single" w:sz="4" w:space="0" w:color="auto"/>
            </w:tcBorders>
            <w:shd w:val="clear" w:color="auto" w:fill="FFFFFF" w:themeFill="background1"/>
            <w:noWrap/>
            <w:vAlign w:val="bottom"/>
            <w:hideMark/>
          </w:tcPr>
          <w:p w14:paraId="2972EDFC" w14:textId="77777777" w:rsidR="002431CC" w:rsidRPr="00A5621C" w:rsidRDefault="002431CC" w:rsidP="00A5621C">
            <w:pPr>
              <w:spacing w:after="0"/>
              <w:jc w:val="right"/>
              <w:rPr>
                <w:rFonts w:ascii="Nunito" w:eastAsia="Times New Roman" w:hAnsi="Nunito"/>
                <w:sz w:val="18"/>
                <w:szCs w:val="18"/>
                <w:lang w:val="es-CO"/>
              </w:rPr>
            </w:pPr>
            <w:r w:rsidRPr="00A5621C">
              <w:rPr>
                <w:rFonts w:ascii="Nunito" w:eastAsia="Times New Roman" w:hAnsi="Nunito"/>
                <w:sz w:val="18"/>
                <w:szCs w:val="18"/>
                <w:lang w:val="es-CO"/>
              </w:rPr>
              <w:t xml:space="preserve"> $  14.311.585,01 </w:t>
            </w:r>
          </w:p>
        </w:tc>
      </w:tr>
      <w:tr w:rsidR="007757AF" w:rsidRPr="007757AF" w14:paraId="0A391D94" w14:textId="77777777" w:rsidTr="00A5621C">
        <w:trPr>
          <w:trHeight w:val="316"/>
          <w:jc w:val="center"/>
        </w:trPr>
        <w:tc>
          <w:tcPr>
            <w:tcW w:w="1290" w:type="dxa"/>
            <w:tcBorders>
              <w:top w:val="nil"/>
              <w:left w:val="single" w:sz="4" w:space="0" w:color="000000"/>
              <w:bottom w:val="single" w:sz="4" w:space="0" w:color="000000"/>
              <w:right w:val="single" w:sz="4" w:space="0" w:color="000000"/>
            </w:tcBorders>
            <w:shd w:val="clear" w:color="auto" w:fill="FFFFFF" w:themeFill="background1"/>
            <w:noWrap/>
            <w:vAlign w:val="center"/>
            <w:hideMark/>
          </w:tcPr>
          <w:p w14:paraId="33E58976" w14:textId="77777777" w:rsidR="002431CC" w:rsidRPr="00A5621C" w:rsidRDefault="002431CC" w:rsidP="00A5621C">
            <w:pPr>
              <w:spacing w:after="0"/>
              <w:jc w:val="center"/>
              <w:rPr>
                <w:rFonts w:ascii="Nunito" w:eastAsia="Times New Roman" w:hAnsi="Nunito"/>
                <w:b/>
                <w:bCs/>
                <w:sz w:val="18"/>
                <w:szCs w:val="18"/>
                <w:lang w:val="es-CO"/>
              </w:rPr>
            </w:pPr>
            <w:r w:rsidRPr="00A5621C">
              <w:rPr>
                <w:rFonts w:ascii="Nunito" w:eastAsia="Times New Roman" w:hAnsi="Nunito"/>
                <w:b/>
                <w:bCs/>
                <w:sz w:val="18"/>
                <w:szCs w:val="18"/>
                <w:lang w:val="es-CO"/>
              </w:rPr>
              <w:t xml:space="preserve">Total </w:t>
            </w:r>
          </w:p>
        </w:tc>
        <w:tc>
          <w:tcPr>
            <w:tcW w:w="2341" w:type="dxa"/>
            <w:tcBorders>
              <w:top w:val="single" w:sz="4" w:space="0" w:color="auto"/>
              <w:left w:val="single" w:sz="4" w:space="0" w:color="auto"/>
              <w:bottom w:val="single" w:sz="4" w:space="0" w:color="auto"/>
              <w:right w:val="single" w:sz="4" w:space="0" w:color="auto"/>
            </w:tcBorders>
            <w:shd w:val="clear" w:color="auto" w:fill="FFFFFF" w:themeFill="background1"/>
            <w:noWrap/>
            <w:vAlign w:val="bottom"/>
            <w:hideMark/>
          </w:tcPr>
          <w:p w14:paraId="07D743E5" w14:textId="77777777" w:rsidR="002431CC" w:rsidRPr="00A5621C" w:rsidRDefault="002431CC" w:rsidP="00A5621C">
            <w:pPr>
              <w:spacing w:after="0"/>
              <w:jc w:val="right"/>
              <w:rPr>
                <w:rFonts w:ascii="Nunito" w:eastAsia="Times New Roman" w:hAnsi="Nunito"/>
                <w:b/>
                <w:sz w:val="18"/>
                <w:szCs w:val="18"/>
                <w:lang w:val="es-CO"/>
              </w:rPr>
            </w:pPr>
            <w:r w:rsidRPr="00A5621C">
              <w:rPr>
                <w:rFonts w:ascii="Nunito" w:eastAsia="Times New Roman" w:hAnsi="Nunito"/>
                <w:b/>
                <w:sz w:val="18"/>
                <w:szCs w:val="18"/>
                <w:lang w:val="es-CO"/>
              </w:rPr>
              <w:t xml:space="preserve"> $   57.069.061,51 </w:t>
            </w:r>
          </w:p>
        </w:tc>
        <w:tc>
          <w:tcPr>
            <w:tcW w:w="2031" w:type="dxa"/>
            <w:tcBorders>
              <w:top w:val="single" w:sz="4" w:space="0" w:color="auto"/>
              <w:left w:val="nil"/>
              <w:bottom w:val="single" w:sz="4" w:space="0" w:color="auto"/>
              <w:right w:val="single" w:sz="4" w:space="0" w:color="auto"/>
            </w:tcBorders>
            <w:shd w:val="clear" w:color="auto" w:fill="FFFFFF" w:themeFill="background1"/>
            <w:noWrap/>
            <w:vAlign w:val="bottom"/>
            <w:hideMark/>
          </w:tcPr>
          <w:p w14:paraId="68545B5E" w14:textId="77777777" w:rsidR="002431CC" w:rsidRPr="00A5621C" w:rsidRDefault="002431CC" w:rsidP="00A5621C">
            <w:pPr>
              <w:spacing w:after="0"/>
              <w:jc w:val="right"/>
              <w:rPr>
                <w:rFonts w:ascii="Nunito" w:eastAsia="Times New Roman" w:hAnsi="Nunito"/>
                <w:b/>
                <w:sz w:val="18"/>
                <w:szCs w:val="18"/>
                <w:lang w:val="es-CO"/>
              </w:rPr>
            </w:pPr>
            <w:r w:rsidRPr="00A5621C">
              <w:rPr>
                <w:rFonts w:ascii="Nunito" w:eastAsia="Times New Roman" w:hAnsi="Nunito"/>
                <w:b/>
                <w:sz w:val="18"/>
                <w:szCs w:val="18"/>
                <w:lang w:val="es-CO"/>
              </w:rPr>
              <w:t xml:space="preserve"> $ 12.400.746,99 </w:t>
            </w:r>
          </w:p>
        </w:tc>
        <w:tc>
          <w:tcPr>
            <w:tcW w:w="1805" w:type="dxa"/>
            <w:tcBorders>
              <w:top w:val="single" w:sz="4" w:space="0" w:color="auto"/>
              <w:left w:val="nil"/>
              <w:bottom w:val="single" w:sz="4" w:space="0" w:color="auto"/>
              <w:right w:val="single" w:sz="4" w:space="0" w:color="auto"/>
            </w:tcBorders>
            <w:shd w:val="clear" w:color="auto" w:fill="FFFFFF" w:themeFill="background1"/>
            <w:noWrap/>
            <w:vAlign w:val="bottom"/>
            <w:hideMark/>
          </w:tcPr>
          <w:p w14:paraId="07420150" w14:textId="77777777" w:rsidR="002431CC" w:rsidRPr="00A5621C" w:rsidRDefault="002431CC" w:rsidP="00A5621C">
            <w:pPr>
              <w:spacing w:after="0"/>
              <w:jc w:val="right"/>
              <w:rPr>
                <w:rFonts w:ascii="Nunito" w:eastAsia="Times New Roman" w:hAnsi="Nunito"/>
                <w:b/>
                <w:sz w:val="18"/>
                <w:szCs w:val="18"/>
                <w:lang w:val="es-CO"/>
              </w:rPr>
            </w:pPr>
            <w:r w:rsidRPr="00A5621C">
              <w:rPr>
                <w:rFonts w:ascii="Nunito" w:eastAsia="Times New Roman" w:hAnsi="Nunito"/>
                <w:sz w:val="18"/>
                <w:szCs w:val="18"/>
                <w:lang w:val="es-CO"/>
              </w:rPr>
              <w:t xml:space="preserve"> </w:t>
            </w:r>
            <w:r w:rsidRPr="00A5621C">
              <w:rPr>
                <w:rFonts w:ascii="Nunito" w:eastAsia="Times New Roman" w:hAnsi="Nunito"/>
                <w:b/>
                <w:sz w:val="18"/>
                <w:szCs w:val="18"/>
                <w:lang w:val="es-CO"/>
              </w:rPr>
              <w:t xml:space="preserve">$  67.725.790,27 </w:t>
            </w:r>
          </w:p>
        </w:tc>
      </w:tr>
    </w:tbl>
    <w:p w14:paraId="1DC0F5CB" w14:textId="673D3C90" w:rsidR="001635D5" w:rsidRPr="00A5621C" w:rsidRDefault="001635D5" w:rsidP="00A5621C">
      <w:pPr>
        <w:spacing w:after="0"/>
        <w:jc w:val="center"/>
        <w:rPr>
          <w:rFonts w:ascii="Nunito" w:hAnsi="Nunito"/>
          <w:sz w:val="18"/>
          <w:szCs w:val="18"/>
        </w:rPr>
      </w:pPr>
      <w:r w:rsidRPr="00A5621C">
        <w:rPr>
          <w:rFonts w:ascii="Nunito" w:hAnsi="Nunito"/>
          <w:b/>
          <w:sz w:val="18"/>
          <w:szCs w:val="18"/>
        </w:rPr>
        <w:t>Fuente:</w:t>
      </w:r>
      <w:r w:rsidRPr="00A5621C">
        <w:rPr>
          <w:rFonts w:ascii="Nunito" w:hAnsi="Nunito"/>
          <w:sz w:val="18"/>
          <w:szCs w:val="18"/>
        </w:rPr>
        <w:t xml:space="preserve"> Elaboración UPME</w:t>
      </w:r>
    </w:p>
    <w:p w14:paraId="3FCADE1A" w14:textId="77777777" w:rsidR="001635D5" w:rsidRPr="00A5621C" w:rsidRDefault="001635D5" w:rsidP="008F6D38">
      <w:pPr>
        <w:spacing w:after="0"/>
        <w:jc w:val="both"/>
        <w:rPr>
          <w:rFonts w:ascii="Nunito" w:hAnsi="Nunito"/>
          <w:sz w:val="22"/>
          <w:szCs w:val="22"/>
        </w:rPr>
      </w:pPr>
    </w:p>
    <w:p w14:paraId="4C305D21" w14:textId="06FD55A2" w:rsidR="002431CC" w:rsidRPr="00FA6B14" w:rsidRDefault="002431CC" w:rsidP="00FA6B14">
      <w:pPr>
        <w:spacing w:after="0"/>
        <w:jc w:val="both"/>
        <w:rPr>
          <w:rFonts w:ascii="Nunito" w:hAnsi="Nunito"/>
          <w:sz w:val="22"/>
          <w:szCs w:val="22"/>
        </w:rPr>
      </w:pPr>
      <w:r w:rsidRPr="00A5621C">
        <w:rPr>
          <w:rFonts w:ascii="Nunito" w:hAnsi="Nunito"/>
          <w:sz w:val="22"/>
          <w:szCs w:val="22"/>
        </w:rPr>
        <w:t xml:space="preserve">Ahora bien, teniendo en cuenta que a la fecha no se cuenta con infraestructura de transporte por Poliducto entre Yumbo y Pasto, en el marco del análisis del presente documento, a partir de la metodología que presenta a continuación se realiza el análisis económico del proyecto y se estiman </w:t>
      </w:r>
      <w:r w:rsidRPr="00FA6B14">
        <w:rPr>
          <w:rFonts w:ascii="Nunito" w:hAnsi="Nunito"/>
          <w:sz w:val="22"/>
          <w:szCs w:val="22"/>
        </w:rPr>
        <w:t>los costos indicativos de referencia.</w:t>
      </w:r>
      <w:r w:rsidRPr="00FA6B14">
        <w:rPr>
          <w:rStyle w:val="FootnoteReference"/>
          <w:rFonts w:ascii="Nunito" w:hAnsi="Nunito"/>
          <w:sz w:val="22"/>
          <w:szCs w:val="22"/>
        </w:rPr>
        <w:footnoteReference w:id="13"/>
      </w:r>
    </w:p>
    <w:p w14:paraId="7AA6E257" w14:textId="77777777" w:rsidR="00EA0007" w:rsidRPr="00FA6B14" w:rsidRDefault="00EA0007" w:rsidP="00FA6B14">
      <w:pPr>
        <w:spacing w:after="0"/>
        <w:jc w:val="both"/>
        <w:rPr>
          <w:rFonts w:ascii="Nunito" w:hAnsi="Nunito"/>
          <w:sz w:val="22"/>
          <w:szCs w:val="22"/>
        </w:rPr>
      </w:pPr>
    </w:p>
    <w:p w14:paraId="767194D3" w14:textId="162F5C0F" w:rsidR="002431CC" w:rsidRPr="00FA6B14" w:rsidRDefault="00A56589" w:rsidP="00FA6B14">
      <w:pPr>
        <w:pStyle w:val="Heading2"/>
        <w:numPr>
          <w:ilvl w:val="1"/>
          <w:numId w:val="13"/>
        </w:numPr>
        <w:tabs>
          <w:tab w:val="num" w:pos="360"/>
        </w:tabs>
        <w:spacing w:before="0" w:after="0"/>
        <w:ind w:left="0" w:firstLine="0"/>
        <w:rPr>
          <w:rFonts w:ascii="Nunito" w:hAnsi="Nunito"/>
          <w:b/>
          <w:bCs/>
          <w:color w:val="94C700"/>
          <w:sz w:val="28"/>
          <w:szCs w:val="28"/>
        </w:rPr>
      </w:pPr>
      <w:bookmarkStart w:id="3" w:name="_heading=h.4fsjm0b" w:colFirst="0" w:colLast="0"/>
      <w:bookmarkEnd w:id="3"/>
      <w:r>
        <w:rPr>
          <w:rFonts w:ascii="Nunito" w:hAnsi="Nunito"/>
          <w:b/>
          <w:bCs/>
          <w:color w:val="94C700"/>
          <w:sz w:val="28"/>
          <w:szCs w:val="28"/>
        </w:rPr>
        <w:t xml:space="preserve">Evaluación </w:t>
      </w:r>
      <w:r w:rsidR="002431CC" w:rsidRPr="00FA6B14">
        <w:rPr>
          <w:rFonts w:ascii="Nunito" w:hAnsi="Nunito"/>
          <w:b/>
          <w:bCs/>
          <w:color w:val="94C700"/>
          <w:sz w:val="28"/>
          <w:szCs w:val="28"/>
        </w:rPr>
        <w:t>económic</w:t>
      </w:r>
      <w:r>
        <w:rPr>
          <w:rFonts w:ascii="Nunito" w:hAnsi="Nunito"/>
          <w:b/>
          <w:bCs/>
          <w:color w:val="94C700"/>
          <w:sz w:val="28"/>
          <w:szCs w:val="28"/>
        </w:rPr>
        <w:t>a</w:t>
      </w:r>
    </w:p>
    <w:p w14:paraId="377C0EF2" w14:textId="77777777" w:rsidR="00EA0007" w:rsidRPr="00FA6B14" w:rsidRDefault="00EA0007" w:rsidP="00A5621C">
      <w:pPr>
        <w:spacing w:after="0"/>
        <w:rPr>
          <w:rFonts w:ascii="Nunito" w:hAnsi="Nunito"/>
          <w:sz w:val="22"/>
          <w:szCs w:val="22"/>
        </w:rPr>
      </w:pPr>
    </w:p>
    <w:p w14:paraId="7E675AAF" w14:textId="77777777" w:rsidR="002431CC" w:rsidRPr="00A5621C" w:rsidRDefault="002431CC" w:rsidP="00FA6B14">
      <w:pPr>
        <w:spacing w:after="0"/>
        <w:jc w:val="both"/>
        <w:rPr>
          <w:rFonts w:ascii="Nunito" w:hAnsi="Nunito"/>
          <w:sz w:val="22"/>
          <w:szCs w:val="22"/>
        </w:rPr>
      </w:pPr>
      <w:r w:rsidRPr="00FA6B14">
        <w:rPr>
          <w:rFonts w:ascii="Nunito" w:hAnsi="Nunito"/>
          <w:sz w:val="22"/>
          <w:szCs w:val="22"/>
          <w:lang w:val="es-CO" w:eastAsia="es-ES"/>
        </w:rPr>
        <w:t xml:space="preserve">Para el desarrollo de la evaluación económica de la infraestructura asociada al Poliducto Yumbo-Pasto, se delimitó un área </w:t>
      </w:r>
      <w:r w:rsidRPr="00FA6B14">
        <w:rPr>
          <w:rFonts w:ascii="Nunito" w:hAnsi="Nunito"/>
          <w:sz w:val="22"/>
          <w:szCs w:val="22"/>
        </w:rPr>
        <w:t xml:space="preserve">de Estudio de referencia entre los departamentos de Valle del Cauca, Cauca y Nariño, particularmente entre las ciudades de Yumbo y Pasto pasando por diversos poblados como los municipios y asentamientos de Yumbo, Candelaria, El Cabuyal, Puerto Tejada, Santander de Quilichao, </w:t>
      </w:r>
      <w:proofErr w:type="spellStart"/>
      <w:r w:rsidRPr="00FA6B14">
        <w:rPr>
          <w:rFonts w:ascii="Nunito" w:hAnsi="Nunito"/>
          <w:sz w:val="22"/>
          <w:szCs w:val="22"/>
        </w:rPr>
        <w:t>Mondómo</w:t>
      </w:r>
      <w:proofErr w:type="spellEnd"/>
      <w:r w:rsidRPr="00FA6B14">
        <w:rPr>
          <w:rFonts w:ascii="Nunito" w:hAnsi="Nunito"/>
          <w:sz w:val="22"/>
          <w:szCs w:val="22"/>
        </w:rPr>
        <w:t xml:space="preserve">, </w:t>
      </w:r>
      <w:proofErr w:type="spellStart"/>
      <w:r w:rsidRPr="00FA6B14">
        <w:rPr>
          <w:rFonts w:ascii="Nunito" w:hAnsi="Nunito"/>
          <w:sz w:val="22"/>
          <w:szCs w:val="22"/>
        </w:rPr>
        <w:t>Túnia</w:t>
      </w:r>
      <w:proofErr w:type="spellEnd"/>
      <w:r w:rsidRPr="00FA6B14">
        <w:rPr>
          <w:rFonts w:ascii="Nunito" w:hAnsi="Nunito"/>
          <w:sz w:val="22"/>
          <w:szCs w:val="22"/>
        </w:rPr>
        <w:t xml:space="preserve">, Piendamó, </w:t>
      </w:r>
      <w:proofErr w:type="spellStart"/>
      <w:r w:rsidRPr="00FA6B14">
        <w:rPr>
          <w:rFonts w:ascii="Nunito" w:hAnsi="Nunito"/>
          <w:sz w:val="22"/>
          <w:szCs w:val="22"/>
        </w:rPr>
        <w:t>Calibío</w:t>
      </w:r>
      <w:proofErr w:type="spellEnd"/>
      <w:r w:rsidRPr="00FA6B14">
        <w:rPr>
          <w:rFonts w:ascii="Nunito" w:hAnsi="Nunito"/>
          <w:sz w:val="22"/>
          <w:szCs w:val="22"/>
        </w:rPr>
        <w:t>, Popayán, Timbío, Rosas, Piedra sentada, El Bordo</w:t>
      </w:r>
      <w:r w:rsidRPr="00A5621C">
        <w:rPr>
          <w:rFonts w:ascii="Nunito" w:hAnsi="Nunito"/>
          <w:sz w:val="22"/>
          <w:szCs w:val="22"/>
        </w:rPr>
        <w:t xml:space="preserve">, Patía, El Estrecho, Mercaderes, La Unión, San Pedro Buesaco, Villa Moreno y Pasto como se muestra en los Gráfico 1 y 2 del presente anexo. </w:t>
      </w:r>
    </w:p>
    <w:p w14:paraId="5E0EEB7A" w14:textId="77777777" w:rsidR="002431CC" w:rsidRPr="00A5621C" w:rsidRDefault="002431CC" w:rsidP="00A5621C">
      <w:pPr>
        <w:spacing w:after="0"/>
        <w:jc w:val="both"/>
        <w:rPr>
          <w:rFonts w:ascii="Nunito" w:hAnsi="Nunito"/>
          <w:sz w:val="22"/>
          <w:szCs w:val="22"/>
        </w:rPr>
      </w:pPr>
    </w:p>
    <w:p w14:paraId="5EC577B7" w14:textId="313A7284" w:rsidR="002431CC" w:rsidRPr="00A5621C" w:rsidRDefault="002431CC" w:rsidP="00A5621C">
      <w:pPr>
        <w:spacing w:after="0"/>
        <w:jc w:val="both"/>
        <w:rPr>
          <w:rFonts w:ascii="Nunito" w:hAnsi="Nunito"/>
          <w:sz w:val="22"/>
          <w:szCs w:val="22"/>
        </w:rPr>
      </w:pPr>
      <w:r w:rsidRPr="00A5621C">
        <w:rPr>
          <w:rFonts w:ascii="Nunito" w:hAnsi="Nunito"/>
          <w:sz w:val="22"/>
          <w:szCs w:val="22"/>
        </w:rPr>
        <w:t>La superficie estimada que abarca el Área de Estudio del Poliducto es de aproximadamente 25.000 Km2 (2,5 millones de hectáreas) en un corredor amplio que va desde Yumbo hasta inmediaciones de la ciudad de Pasto.</w:t>
      </w:r>
      <w:r w:rsidR="00AC5B74">
        <w:rPr>
          <w:rFonts w:ascii="Nunito" w:hAnsi="Nunito"/>
          <w:sz w:val="22"/>
          <w:szCs w:val="22"/>
        </w:rPr>
        <w:t xml:space="preserve"> </w:t>
      </w:r>
      <w:r w:rsidRPr="00A5621C">
        <w:rPr>
          <w:rFonts w:ascii="Nunito" w:hAnsi="Nunito"/>
          <w:sz w:val="22"/>
          <w:szCs w:val="22"/>
        </w:rPr>
        <w:t>El poliducto Yumbo – Pasto tendrá como función transportar hidrocarburos combustibles desde el sistema nacional de poliductos en el norte del país, a través de una conexión en la ciudad de Yumbo y hacia el sur del país para asegurar el aprovisionamiento de combustibles a este importante sector del país donde no existe una red de transporte, y que se aprovisiona actualmente a través de carrotanques.</w:t>
      </w:r>
    </w:p>
    <w:p w14:paraId="588E8FA1" w14:textId="77777777" w:rsidR="002431CC" w:rsidRPr="00A5621C" w:rsidRDefault="002431CC" w:rsidP="00A5621C">
      <w:pPr>
        <w:spacing w:after="0"/>
        <w:jc w:val="both"/>
        <w:rPr>
          <w:rFonts w:ascii="Nunito" w:hAnsi="Nunito"/>
          <w:sz w:val="22"/>
          <w:szCs w:val="22"/>
          <w:lang w:val="es-CO" w:eastAsia="es-ES"/>
        </w:rPr>
      </w:pPr>
    </w:p>
    <w:p w14:paraId="4A83A8EE" w14:textId="633A87E5" w:rsidR="002431CC" w:rsidRPr="00A5621C" w:rsidRDefault="002431CC" w:rsidP="00A5621C">
      <w:pPr>
        <w:spacing w:after="0"/>
        <w:jc w:val="both"/>
        <w:rPr>
          <w:rFonts w:ascii="Nunito" w:hAnsi="Nunito"/>
          <w:sz w:val="22"/>
          <w:szCs w:val="22"/>
        </w:rPr>
      </w:pPr>
      <w:r w:rsidRPr="00A5621C">
        <w:rPr>
          <w:rFonts w:ascii="Nunito" w:hAnsi="Nunito"/>
          <w:sz w:val="22"/>
          <w:szCs w:val="22"/>
        </w:rPr>
        <w:t>El proyecto consist</w:t>
      </w:r>
      <w:r w:rsidR="00FA6B14">
        <w:rPr>
          <w:rFonts w:ascii="Nunito" w:hAnsi="Nunito"/>
          <w:sz w:val="22"/>
          <w:szCs w:val="22"/>
        </w:rPr>
        <w:t>e</w:t>
      </w:r>
      <w:r w:rsidRPr="00A5621C">
        <w:rPr>
          <w:rFonts w:ascii="Nunito" w:hAnsi="Nunito"/>
          <w:sz w:val="22"/>
          <w:szCs w:val="22"/>
        </w:rPr>
        <w:t xml:space="preserve"> en un sistema de recibo de combustibles en Yumbo, facilidades para el mantenimiento del poliducto, la tubería para el transporte de combustibles, las válvulas de seccionamiento que se requieran, la instrumentación y facilidades de comunicación necesarias para el control y la operación segura del poliducto y un sistema de transferencia en el punto de </w:t>
      </w:r>
      <w:r w:rsidRPr="00A5621C">
        <w:rPr>
          <w:rFonts w:ascii="Nunito" w:hAnsi="Nunito"/>
          <w:sz w:val="22"/>
          <w:szCs w:val="22"/>
        </w:rPr>
        <w:lastRenderedPageBreak/>
        <w:t>entrega en la ciudad de Pasto donde se realizará el almacenamiento.</w:t>
      </w:r>
      <w:r w:rsidR="00FA6B14">
        <w:rPr>
          <w:rFonts w:ascii="Nunito" w:hAnsi="Nunito"/>
          <w:sz w:val="22"/>
          <w:szCs w:val="22"/>
        </w:rPr>
        <w:t xml:space="preserve"> </w:t>
      </w:r>
      <w:r w:rsidRPr="00A5621C">
        <w:rPr>
          <w:rFonts w:ascii="Nunito" w:hAnsi="Nunito"/>
          <w:sz w:val="22"/>
          <w:szCs w:val="22"/>
        </w:rPr>
        <w:t>Como parte de los alcances del proyecto además de la definición del área de estudio se trazaron tres alternativas de posibles alineamientos para el poliducto, las cuales comparten gran parte de los trazados; sin embargo, luego de diversos análisis de carácter ambiental, social y de algunas especificaciones técnicas fue seleccionada a través del estudio de consultoría realizado, la denominada Alternativa 1 como la de mayor viabilidad para ser considerada en la siguiente etapa de ingeniería de diseño y detalle.</w:t>
      </w:r>
    </w:p>
    <w:p w14:paraId="66876BA5" w14:textId="77777777" w:rsidR="002431CC" w:rsidRPr="00A5621C" w:rsidRDefault="002431CC" w:rsidP="00A5621C">
      <w:pPr>
        <w:spacing w:after="0"/>
        <w:jc w:val="both"/>
        <w:rPr>
          <w:rFonts w:ascii="Nunito" w:hAnsi="Nunito"/>
          <w:sz w:val="22"/>
          <w:szCs w:val="22"/>
        </w:rPr>
      </w:pPr>
    </w:p>
    <w:p w14:paraId="743993BF" w14:textId="77777777" w:rsidR="002431CC" w:rsidRPr="00A5621C" w:rsidRDefault="002431CC" w:rsidP="00A5621C">
      <w:pPr>
        <w:spacing w:after="0"/>
        <w:jc w:val="center"/>
        <w:rPr>
          <w:rFonts w:ascii="Nunito" w:hAnsi="Nunito"/>
          <w:b/>
          <w:bCs/>
          <w:sz w:val="22"/>
          <w:szCs w:val="22"/>
          <w:lang w:val="es-CO" w:eastAsia="es-ES"/>
        </w:rPr>
      </w:pPr>
      <w:r w:rsidRPr="00A5621C">
        <w:rPr>
          <w:rFonts w:ascii="Nunito" w:hAnsi="Nunito"/>
          <w:b/>
          <w:bCs/>
          <w:sz w:val="22"/>
          <w:szCs w:val="22"/>
          <w:lang w:val="es-CO" w:eastAsia="es-ES"/>
        </w:rPr>
        <w:t>Gráfico 1. Ubicación general del área de estudio – Poliducto Yumbo-Pasto</w:t>
      </w:r>
    </w:p>
    <w:p w14:paraId="5FE5FB6C" w14:textId="77777777" w:rsidR="002431CC" w:rsidRPr="00A5621C" w:rsidRDefault="002431CC" w:rsidP="00A5621C">
      <w:pPr>
        <w:spacing w:after="0"/>
        <w:jc w:val="center"/>
        <w:rPr>
          <w:rFonts w:ascii="Nunito" w:hAnsi="Nunito"/>
          <w:sz w:val="22"/>
          <w:szCs w:val="22"/>
          <w:lang w:val="es-CO" w:eastAsia="es-ES"/>
        </w:rPr>
      </w:pPr>
      <w:r w:rsidRPr="00A5621C">
        <w:rPr>
          <w:rFonts w:ascii="Nunito" w:hAnsi="Nunito"/>
          <w:noProof/>
          <w:sz w:val="22"/>
          <w:szCs w:val="22"/>
          <w:lang w:val="es-CO" w:eastAsia="es-ES"/>
        </w:rPr>
        <w:drawing>
          <wp:inline distT="0" distB="0" distL="0" distR="0" wp14:anchorId="38351E06" wp14:editId="591A913C">
            <wp:extent cx="4597400" cy="5457416"/>
            <wp:effectExtent l="0" t="0" r="0" b="0"/>
            <wp:docPr id="1093410064" name="Imagen 1" descr="Map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3410064" name="Imagen 1" descr="Mapa&#10;&#10;El contenido generado por IA puede ser incorrecto."/>
                    <pic:cNvPicPr/>
                  </pic:nvPicPr>
                  <pic:blipFill>
                    <a:blip r:embed="rId8"/>
                    <a:stretch>
                      <a:fillRect/>
                    </a:stretch>
                  </pic:blipFill>
                  <pic:spPr>
                    <a:xfrm>
                      <a:off x="0" y="0"/>
                      <a:ext cx="4611176" cy="5473769"/>
                    </a:xfrm>
                    <a:prstGeom prst="rect">
                      <a:avLst/>
                    </a:prstGeom>
                  </pic:spPr>
                </pic:pic>
              </a:graphicData>
            </a:graphic>
          </wp:inline>
        </w:drawing>
      </w:r>
    </w:p>
    <w:p w14:paraId="14EB53F3" w14:textId="77777777" w:rsidR="002431CC" w:rsidRPr="00A5621C" w:rsidRDefault="002431CC" w:rsidP="00A5621C">
      <w:pPr>
        <w:spacing w:after="0"/>
        <w:jc w:val="center"/>
        <w:rPr>
          <w:rFonts w:ascii="Nunito" w:hAnsi="Nunito"/>
          <w:sz w:val="18"/>
          <w:szCs w:val="18"/>
          <w:lang w:val="es-CO" w:eastAsia="es-ES"/>
        </w:rPr>
      </w:pPr>
      <w:r w:rsidRPr="00A5621C">
        <w:rPr>
          <w:rFonts w:ascii="Nunito" w:hAnsi="Nunito"/>
          <w:sz w:val="18"/>
          <w:szCs w:val="18"/>
          <w:lang w:val="es-CO" w:eastAsia="es-ES"/>
        </w:rPr>
        <w:t>Fuente: UPME, 2022. Adaptado de cartografía base IGAC 2019</w:t>
      </w:r>
    </w:p>
    <w:p w14:paraId="23005278" w14:textId="77777777" w:rsidR="002431CC" w:rsidRPr="00A5621C" w:rsidRDefault="002431CC" w:rsidP="00A5621C">
      <w:pPr>
        <w:spacing w:after="0"/>
        <w:rPr>
          <w:rFonts w:ascii="Nunito" w:hAnsi="Nunito"/>
          <w:sz w:val="22"/>
          <w:szCs w:val="22"/>
          <w:lang w:val="es-CO" w:eastAsia="es-ES"/>
        </w:rPr>
      </w:pPr>
      <w:r w:rsidRPr="00A5621C">
        <w:rPr>
          <w:rFonts w:ascii="Nunito" w:hAnsi="Nunito"/>
          <w:sz w:val="22"/>
          <w:szCs w:val="22"/>
          <w:lang w:val="es-CO" w:eastAsia="es-ES"/>
        </w:rPr>
        <w:br w:type="page"/>
      </w:r>
    </w:p>
    <w:p w14:paraId="6921B766" w14:textId="77777777" w:rsidR="002431CC" w:rsidRPr="00A5621C" w:rsidRDefault="002431CC" w:rsidP="00A5621C">
      <w:pPr>
        <w:spacing w:after="0"/>
        <w:jc w:val="center"/>
        <w:rPr>
          <w:rFonts w:ascii="Nunito" w:hAnsi="Nunito"/>
          <w:sz w:val="22"/>
          <w:szCs w:val="22"/>
          <w:lang w:val="es-CO" w:eastAsia="es-ES"/>
        </w:rPr>
      </w:pPr>
      <w:r w:rsidRPr="00A5621C">
        <w:rPr>
          <w:rFonts w:ascii="Nunito" w:hAnsi="Nunito"/>
          <w:b/>
          <w:bCs/>
          <w:sz w:val="22"/>
          <w:szCs w:val="22"/>
          <w:lang w:val="es-CO" w:eastAsia="es-ES"/>
        </w:rPr>
        <w:lastRenderedPageBreak/>
        <w:t>Gráfico 2. Trazado general de alternativas de conexión para Poliducto Yumbo-Pasto</w:t>
      </w:r>
    </w:p>
    <w:p w14:paraId="4D85B07A" w14:textId="77777777" w:rsidR="002431CC" w:rsidRPr="00A5621C" w:rsidRDefault="002431CC" w:rsidP="00A5621C">
      <w:pPr>
        <w:spacing w:after="0"/>
        <w:jc w:val="center"/>
        <w:rPr>
          <w:rFonts w:ascii="Nunito" w:hAnsi="Nunito"/>
          <w:sz w:val="22"/>
          <w:szCs w:val="22"/>
          <w:lang w:val="es-CO" w:eastAsia="es-ES"/>
        </w:rPr>
      </w:pPr>
      <w:r w:rsidRPr="00A5621C">
        <w:rPr>
          <w:rFonts w:ascii="Nunito" w:hAnsi="Nunito"/>
          <w:noProof/>
          <w:sz w:val="22"/>
          <w:szCs w:val="22"/>
          <w:lang w:val="es-CO" w:eastAsia="es-ES"/>
        </w:rPr>
        <w:drawing>
          <wp:inline distT="0" distB="0" distL="0" distR="0" wp14:anchorId="331F2E3C" wp14:editId="3AFAC272">
            <wp:extent cx="4642485" cy="5575894"/>
            <wp:effectExtent l="0" t="0" r="5715" b="6350"/>
            <wp:docPr id="1168403714"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8403714" name=""/>
                    <pic:cNvPicPr/>
                  </pic:nvPicPr>
                  <pic:blipFill>
                    <a:blip r:embed="rId9"/>
                    <a:stretch>
                      <a:fillRect/>
                    </a:stretch>
                  </pic:blipFill>
                  <pic:spPr>
                    <a:xfrm>
                      <a:off x="0" y="0"/>
                      <a:ext cx="4650747" cy="5585817"/>
                    </a:xfrm>
                    <a:prstGeom prst="rect">
                      <a:avLst/>
                    </a:prstGeom>
                  </pic:spPr>
                </pic:pic>
              </a:graphicData>
            </a:graphic>
          </wp:inline>
        </w:drawing>
      </w:r>
      <w:r w:rsidRPr="00A5621C" w:rsidDel="00A92611">
        <w:rPr>
          <w:rFonts w:ascii="Nunito" w:hAnsi="Nunito"/>
          <w:sz w:val="22"/>
          <w:szCs w:val="22"/>
          <w:lang w:val="es-CO" w:eastAsia="es-ES"/>
        </w:rPr>
        <w:t xml:space="preserve"> </w:t>
      </w:r>
    </w:p>
    <w:p w14:paraId="1CD00BCB" w14:textId="00D016CA" w:rsidR="002431CC" w:rsidRPr="00A5621C" w:rsidRDefault="002431CC" w:rsidP="008F6D38">
      <w:pPr>
        <w:spacing w:after="0"/>
        <w:jc w:val="center"/>
        <w:rPr>
          <w:rFonts w:ascii="Nunito" w:hAnsi="Nunito"/>
          <w:sz w:val="18"/>
          <w:szCs w:val="18"/>
          <w:lang w:val="es-CO" w:eastAsia="es-ES"/>
        </w:rPr>
      </w:pPr>
      <w:r w:rsidRPr="00A5621C">
        <w:rPr>
          <w:rFonts w:ascii="Nunito" w:hAnsi="Nunito"/>
          <w:sz w:val="18"/>
          <w:szCs w:val="18"/>
          <w:lang w:val="es-CO" w:eastAsia="es-ES"/>
        </w:rPr>
        <w:t xml:space="preserve">Fuente: UPME – </w:t>
      </w:r>
      <w:proofErr w:type="spellStart"/>
      <w:r w:rsidRPr="00A5621C">
        <w:rPr>
          <w:rFonts w:ascii="Nunito" w:hAnsi="Nunito"/>
          <w:sz w:val="18"/>
          <w:szCs w:val="18"/>
          <w:lang w:val="es-CO" w:eastAsia="es-ES"/>
        </w:rPr>
        <w:t>Ecosimple</w:t>
      </w:r>
      <w:proofErr w:type="spellEnd"/>
    </w:p>
    <w:p w14:paraId="7D18733D" w14:textId="77777777" w:rsidR="00884F4A" w:rsidRPr="00A5621C" w:rsidRDefault="00884F4A" w:rsidP="00884F4A">
      <w:pPr>
        <w:spacing w:after="0"/>
        <w:jc w:val="both"/>
        <w:rPr>
          <w:rFonts w:ascii="Nunito" w:hAnsi="Nunito"/>
          <w:sz w:val="22"/>
          <w:szCs w:val="22"/>
          <w:lang w:val="es-CO" w:eastAsia="es-ES"/>
        </w:rPr>
      </w:pPr>
    </w:p>
    <w:p w14:paraId="2E09F2A2" w14:textId="77777777" w:rsidR="00884F4A" w:rsidRPr="00A5621C" w:rsidRDefault="00884F4A" w:rsidP="00884F4A">
      <w:pPr>
        <w:spacing w:after="0"/>
        <w:jc w:val="both"/>
        <w:rPr>
          <w:rFonts w:ascii="Nunito" w:hAnsi="Nunito"/>
          <w:sz w:val="22"/>
          <w:szCs w:val="22"/>
        </w:rPr>
      </w:pPr>
      <w:r w:rsidRPr="00A5621C">
        <w:rPr>
          <w:rFonts w:ascii="Nunito" w:hAnsi="Nunito"/>
          <w:sz w:val="22"/>
          <w:szCs w:val="22"/>
        </w:rPr>
        <w:t>Teniendo en cuenta la ruta recomendada para el trazado del poliducto Yumbo-Pasto (Ver Informe de “Evaluación de las características geológicas del territorio que permitan estimar posibles trazados y recomendar una ruta factible para la construcción del ducto que transportará combustibles líquidos (gasolina, diésel, GLP y Jet”), a continuación, se presentan las principales características de la ruta del poliducto recomendada:</w:t>
      </w:r>
    </w:p>
    <w:p w14:paraId="61283FB9" w14:textId="77777777" w:rsidR="00884F4A" w:rsidRPr="00A5621C" w:rsidRDefault="00884F4A" w:rsidP="00A5621C">
      <w:pPr>
        <w:spacing w:after="0"/>
        <w:jc w:val="center"/>
        <w:rPr>
          <w:rFonts w:ascii="Nunito" w:hAnsi="Nunito"/>
          <w:sz w:val="22"/>
          <w:szCs w:val="22"/>
          <w:lang w:val="es-CO" w:eastAsia="es-ES"/>
        </w:rPr>
      </w:pPr>
    </w:p>
    <w:p w14:paraId="74612B8E" w14:textId="22D617E1" w:rsidR="002431CC" w:rsidRPr="00BC547D" w:rsidRDefault="002431CC" w:rsidP="00884F4A">
      <w:pPr>
        <w:pStyle w:val="Heading2"/>
        <w:numPr>
          <w:ilvl w:val="2"/>
          <w:numId w:val="20"/>
        </w:numPr>
        <w:spacing w:before="0" w:after="0"/>
        <w:rPr>
          <w:rFonts w:ascii="Nunito" w:hAnsi="Nunito"/>
          <w:b/>
          <w:bCs/>
          <w:color w:val="94C700"/>
          <w:sz w:val="28"/>
          <w:szCs w:val="28"/>
        </w:rPr>
      </w:pPr>
      <w:r w:rsidRPr="00A5621C">
        <w:rPr>
          <w:rFonts w:ascii="Nunito" w:hAnsi="Nunito"/>
          <w:b/>
          <w:bCs/>
          <w:color w:val="94C700"/>
          <w:sz w:val="28"/>
          <w:szCs w:val="28"/>
        </w:rPr>
        <w:lastRenderedPageBreak/>
        <w:t>Estimación de Costos indicativos</w:t>
      </w:r>
    </w:p>
    <w:p w14:paraId="2014491C" w14:textId="77777777" w:rsidR="00884F4A" w:rsidRPr="00A5621C" w:rsidRDefault="00884F4A" w:rsidP="00A5621C">
      <w:pPr>
        <w:rPr>
          <w:rFonts w:ascii="Nunito" w:hAnsi="Nunito"/>
          <w:sz w:val="22"/>
          <w:szCs w:val="22"/>
        </w:rPr>
      </w:pPr>
    </w:p>
    <w:p w14:paraId="4ED0EB5C" w14:textId="77777777" w:rsidR="002431CC" w:rsidRPr="00A5621C" w:rsidRDefault="002431CC" w:rsidP="00A5621C">
      <w:pPr>
        <w:spacing w:after="0"/>
        <w:jc w:val="both"/>
        <w:rPr>
          <w:rFonts w:ascii="Nunito" w:hAnsi="Nunito"/>
          <w:sz w:val="22"/>
          <w:szCs w:val="22"/>
        </w:rPr>
      </w:pPr>
      <w:r w:rsidRPr="00A5621C">
        <w:rPr>
          <w:rFonts w:ascii="Nunito" w:hAnsi="Nunito"/>
          <w:sz w:val="22"/>
          <w:szCs w:val="22"/>
        </w:rPr>
        <w:t>A 2024, la UPME ha adelantado la gestión contractual para tres (3) estudios particulares relacionados con este proyecto: una evaluación de factibilidad, que se realizó en 2019 para evaluar la viabilidad técnica y económica del proyecto, identificando posibles rutas y analizando aspectos ambientales y sociales</w:t>
      </w:r>
      <w:r w:rsidRPr="00A5621C">
        <w:rPr>
          <w:rFonts w:ascii="Nunito" w:hAnsi="Nunito"/>
          <w:sz w:val="22"/>
          <w:szCs w:val="22"/>
          <w:vertAlign w:val="superscript"/>
        </w:rPr>
        <w:footnoteReference w:id="14"/>
      </w:r>
      <w:r w:rsidRPr="00A5621C">
        <w:rPr>
          <w:rFonts w:ascii="Nunito" w:hAnsi="Nunito"/>
          <w:sz w:val="22"/>
          <w:szCs w:val="22"/>
        </w:rPr>
        <w:t>, la actualización de información realizada por la</w:t>
      </w:r>
      <w:r w:rsidRPr="00A5621C">
        <w:rPr>
          <w:rFonts w:ascii="Nunito" w:hAnsi="Nunito" w:cs="Segoe UI"/>
          <w:sz w:val="22"/>
          <w:szCs w:val="22"/>
        </w:rPr>
        <w:t xml:space="preserve"> UPME 2022</w:t>
      </w:r>
      <w:r w:rsidRPr="00A5621C">
        <w:rPr>
          <w:rStyle w:val="FootnoteReference"/>
          <w:rFonts w:ascii="Nunito" w:hAnsi="Nunito" w:cs="Segoe UI"/>
          <w:sz w:val="22"/>
          <w:szCs w:val="22"/>
        </w:rPr>
        <w:footnoteReference w:id="15"/>
      </w:r>
      <w:r w:rsidRPr="00A5621C">
        <w:rPr>
          <w:rFonts w:ascii="Nunito" w:hAnsi="Nunito" w:cs="Segoe UI"/>
          <w:sz w:val="22"/>
          <w:szCs w:val="22"/>
        </w:rPr>
        <w:t xml:space="preserve">, donde se actualizó el análisis de condicionantes ambientales y socioculturales, utilizando </w:t>
      </w:r>
      <w:r w:rsidRPr="00A5621C">
        <w:rPr>
          <w:rFonts w:ascii="Nunito" w:hAnsi="Nunito"/>
          <w:sz w:val="22"/>
          <w:szCs w:val="22"/>
        </w:rPr>
        <w:t>información secundaria, y finalmente, en 2023 un estudio más detallado</w:t>
      </w:r>
      <w:r w:rsidRPr="00A5621C">
        <w:rPr>
          <w:rFonts w:ascii="Nunito" w:hAnsi="Nunito"/>
          <w:sz w:val="22"/>
          <w:szCs w:val="22"/>
          <w:vertAlign w:val="superscript"/>
        </w:rPr>
        <w:footnoteReference w:id="16"/>
      </w:r>
      <w:r w:rsidRPr="00A5621C">
        <w:rPr>
          <w:rFonts w:ascii="Nunito" w:hAnsi="Nunito"/>
          <w:sz w:val="22"/>
          <w:szCs w:val="22"/>
        </w:rPr>
        <w:t>, con trabajo de campo y recolección de información primaria, para comprender a fondo las características del territorio y los posibles impactos del proyecto.</w:t>
      </w:r>
    </w:p>
    <w:p w14:paraId="3FE1FD2B" w14:textId="77777777" w:rsidR="002431CC" w:rsidRPr="00A5621C" w:rsidRDefault="002431CC" w:rsidP="00A5621C">
      <w:pPr>
        <w:spacing w:after="0"/>
        <w:jc w:val="both"/>
        <w:rPr>
          <w:rFonts w:ascii="Nunito" w:hAnsi="Nunito"/>
          <w:sz w:val="22"/>
          <w:szCs w:val="22"/>
        </w:rPr>
      </w:pPr>
    </w:p>
    <w:p w14:paraId="5BBA1ECE" w14:textId="77777777" w:rsidR="002431CC" w:rsidRPr="00A5621C" w:rsidRDefault="002431CC" w:rsidP="00A5621C">
      <w:pPr>
        <w:spacing w:after="0"/>
        <w:jc w:val="both"/>
        <w:rPr>
          <w:rFonts w:ascii="Nunito" w:hAnsi="Nunito"/>
          <w:sz w:val="22"/>
          <w:szCs w:val="22"/>
        </w:rPr>
      </w:pPr>
      <w:r w:rsidRPr="00A5621C">
        <w:rPr>
          <w:rFonts w:ascii="Nunito" w:hAnsi="Nunito"/>
          <w:sz w:val="22"/>
          <w:szCs w:val="22"/>
        </w:rPr>
        <w:t xml:space="preserve">Como se mencionó previamente, se han propuesto tres rutas alternativas, todas atravesando los departamentos del Valle del Cauca, Cauca y Nariño. Dos de ellas con una longitud aproximada de 303 km y llegan cerca de Pasto, mientras que la tercera, de 313 km, llega directamente hasta la ciudad. Cada alternativa incluye el mismo número de estaciones de abastecimiento. Las comunidades y el entorno de cada subestación presentan características sociales, ambientales, políticas y económicas distintas. Por lo cual se realizó un análisis de costos indicativos del proyecto y uno de evaluación económica. En el análisis de CAPEX, se actualizaron los resultados a 2024 de la consultoría realizada previamente por DELVASTO &amp;EHEVERRIA para la UPME en 2019 acerca de la factibilidad técnica y económica del poliducto. Para calcular los costos indicativos se sigue la metodología utilizada de costeo referido según las prácticas internacionales (AACE International </w:t>
      </w:r>
      <w:proofErr w:type="spellStart"/>
      <w:r w:rsidRPr="00A5621C">
        <w:rPr>
          <w:rFonts w:ascii="Nunito" w:hAnsi="Nunito"/>
          <w:sz w:val="22"/>
          <w:szCs w:val="22"/>
        </w:rPr>
        <w:t>Recommended</w:t>
      </w:r>
      <w:proofErr w:type="spellEnd"/>
      <w:r w:rsidRPr="00A5621C">
        <w:rPr>
          <w:rFonts w:ascii="Nunito" w:hAnsi="Nunito"/>
          <w:sz w:val="22"/>
          <w:szCs w:val="22"/>
        </w:rPr>
        <w:t xml:space="preserve"> </w:t>
      </w:r>
      <w:proofErr w:type="spellStart"/>
      <w:r w:rsidRPr="00A5621C">
        <w:rPr>
          <w:rFonts w:ascii="Nunito" w:hAnsi="Nunito"/>
          <w:sz w:val="22"/>
          <w:szCs w:val="22"/>
        </w:rPr>
        <w:t>Practice</w:t>
      </w:r>
      <w:proofErr w:type="spellEnd"/>
      <w:r w:rsidRPr="00A5621C">
        <w:rPr>
          <w:rFonts w:ascii="Nunito" w:hAnsi="Nunito"/>
          <w:sz w:val="22"/>
          <w:szCs w:val="22"/>
        </w:rPr>
        <w:t xml:space="preserve"> No. 18R-97) que arroja una estimación que tiene un nivel clase 5 de incertidumbre con márgenes de precisión de ±30% y a factores de escalamiento, tomando como referencia diversos gasoductos y poliductos ejecutados. Es importante mencionar que en la valoración del estudio se indexan los costos a 2024 según el histórico de inflación de los Estados Unidos</w:t>
      </w:r>
      <w:r w:rsidRPr="00A5621C">
        <w:rPr>
          <w:rFonts w:ascii="Nunito" w:hAnsi="Nunito"/>
          <w:sz w:val="22"/>
          <w:szCs w:val="22"/>
          <w:vertAlign w:val="superscript"/>
        </w:rPr>
        <w:footnoteReference w:id="17"/>
      </w:r>
      <w:r w:rsidRPr="00A5621C">
        <w:rPr>
          <w:rFonts w:ascii="Nunito" w:hAnsi="Nunito"/>
          <w:sz w:val="22"/>
          <w:szCs w:val="22"/>
        </w:rPr>
        <w:t xml:space="preserve">. En todos los casos se consideró el mismo tipo de tubería de un diámetro de 8 pulgadas según las características específicas de cada una de las alternativas evaluadas. </w:t>
      </w:r>
    </w:p>
    <w:p w14:paraId="25E7E74F" w14:textId="454B6B6E" w:rsidR="002431CC" w:rsidRDefault="002431CC" w:rsidP="00AC5B74">
      <w:pPr>
        <w:spacing w:after="0"/>
        <w:jc w:val="both"/>
        <w:rPr>
          <w:rFonts w:ascii="Nunito" w:hAnsi="Nunito"/>
          <w:sz w:val="22"/>
          <w:szCs w:val="22"/>
        </w:rPr>
      </w:pPr>
      <w:r w:rsidRPr="00A5621C">
        <w:rPr>
          <w:rFonts w:ascii="Nunito" w:hAnsi="Nunito"/>
          <w:sz w:val="22"/>
          <w:szCs w:val="22"/>
        </w:rPr>
        <w:lastRenderedPageBreak/>
        <w:t xml:space="preserve">Dentro de los costos de inversión para el desarrollo del poliducto, se tiene estimado cinco (5) componentes </w:t>
      </w:r>
      <w:r w:rsidRPr="00AC5B74">
        <w:rPr>
          <w:rFonts w:ascii="Nunito" w:hAnsi="Nunito"/>
          <w:sz w:val="22"/>
          <w:szCs w:val="22"/>
        </w:rPr>
        <w:t>principales, que corresponden a costos de obra civil, mecánica, instrumentación, ambiental y eléctrica, los cuales se asocian a obras de las estaciones y la línea del poliducto.</w:t>
      </w:r>
    </w:p>
    <w:p w14:paraId="7C6AF48E" w14:textId="77777777" w:rsidR="00AC5B74" w:rsidRPr="00AC5B74" w:rsidRDefault="00AC5B74" w:rsidP="00A5621C">
      <w:pPr>
        <w:spacing w:after="0"/>
        <w:jc w:val="both"/>
        <w:rPr>
          <w:rFonts w:ascii="Nunito" w:hAnsi="Nunito"/>
          <w:sz w:val="22"/>
          <w:szCs w:val="22"/>
        </w:rPr>
      </w:pPr>
    </w:p>
    <w:p w14:paraId="4CA17B65" w14:textId="77777777" w:rsidR="002431CC" w:rsidRPr="00AC5B74" w:rsidRDefault="002431CC" w:rsidP="00AC5B74">
      <w:pPr>
        <w:spacing w:after="0"/>
        <w:jc w:val="both"/>
        <w:rPr>
          <w:rFonts w:ascii="Nunito" w:hAnsi="Nunito"/>
          <w:sz w:val="22"/>
          <w:szCs w:val="22"/>
        </w:rPr>
      </w:pPr>
      <w:r w:rsidRPr="00AC5B74">
        <w:rPr>
          <w:rFonts w:ascii="Nunito" w:hAnsi="Nunito"/>
          <w:sz w:val="22"/>
          <w:szCs w:val="22"/>
        </w:rPr>
        <w:t xml:space="preserve">Para el poliducto se tienen cuatro (4) estaciones: la estación inicial de </w:t>
      </w:r>
      <w:proofErr w:type="spellStart"/>
      <w:r w:rsidRPr="00AC5B74">
        <w:rPr>
          <w:rFonts w:ascii="Nunito" w:hAnsi="Nunito"/>
          <w:sz w:val="22"/>
          <w:szCs w:val="22"/>
        </w:rPr>
        <w:t>Mulaló</w:t>
      </w:r>
      <w:proofErr w:type="spellEnd"/>
      <w:r w:rsidRPr="00AC5B74">
        <w:rPr>
          <w:rFonts w:ascii="Nunito" w:hAnsi="Nunito"/>
          <w:sz w:val="22"/>
          <w:szCs w:val="22"/>
        </w:rPr>
        <w:t>, estación Impulsora kilómetro 83, estación intermedia paso rio Cauca kilómetro 143 y la estación final de Pasto, dotadas cada una con las condiciones de operación de acuerdo con sus capacidades de presión, temperatura, presión de bombeo, potencia requerida, tanques de almacenamiento y demás variables que intervienen en la construcción y operación del poliducto.</w:t>
      </w:r>
    </w:p>
    <w:p w14:paraId="6A07A649" w14:textId="77777777" w:rsidR="002431CC" w:rsidRPr="00AC5B74" w:rsidRDefault="002431CC" w:rsidP="00AC5B74">
      <w:pPr>
        <w:spacing w:after="0"/>
        <w:jc w:val="both"/>
        <w:rPr>
          <w:rFonts w:ascii="Nunito" w:hAnsi="Nunito"/>
          <w:sz w:val="22"/>
          <w:szCs w:val="22"/>
        </w:rPr>
      </w:pPr>
    </w:p>
    <w:p w14:paraId="42831B22" w14:textId="77777777" w:rsidR="002431CC" w:rsidRPr="00AC5B74" w:rsidRDefault="002431CC" w:rsidP="00AC5B74">
      <w:pPr>
        <w:spacing w:after="0"/>
        <w:jc w:val="both"/>
        <w:rPr>
          <w:rFonts w:ascii="Nunito" w:hAnsi="Nunito"/>
          <w:sz w:val="22"/>
          <w:szCs w:val="22"/>
        </w:rPr>
      </w:pPr>
      <w:r w:rsidRPr="00AC5B74">
        <w:rPr>
          <w:rFonts w:ascii="Nunito" w:hAnsi="Nunito"/>
          <w:sz w:val="22"/>
          <w:szCs w:val="22"/>
        </w:rPr>
        <w:t>El presupuesto estimado tiene en cuenta inversiones en predios, incluyendo zona de vía y servidumbres para las locaciones y la línea del poliducto, al igual que los costos de infraestructura asociados a obras civiles y vías en las etapas de construcción como en las de operación del poliducto.</w:t>
      </w:r>
    </w:p>
    <w:p w14:paraId="3AB4AE4F" w14:textId="77777777" w:rsidR="002431CC" w:rsidRPr="00AC5B74" w:rsidRDefault="002431CC" w:rsidP="00AC5B74">
      <w:pPr>
        <w:spacing w:after="0"/>
        <w:jc w:val="both"/>
        <w:rPr>
          <w:rFonts w:ascii="Nunito" w:hAnsi="Nunito"/>
          <w:sz w:val="22"/>
          <w:szCs w:val="22"/>
        </w:rPr>
      </w:pPr>
    </w:p>
    <w:p w14:paraId="408FE710" w14:textId="77777777" w:rsidR="002431CC" w:rsidRPr="00A5621C" w:rsidRDefault="002431CC" w:rsidP="00AC5B74">
      <w:pPr>
        <w:spacing w:after="0"/>
        <w:jc w:val="both"/>
        <w:rPr>
          <w:rFonts w:ascii="Nunito" w:hAnsi="Nunito"/>
          <w:sz w:val="22"/>
          <w:szCs w:val="22"/>
        </w:rPr>
      </w:pPr>
      <w:r w:rsidRPr="00AC5B74">
        <w:rPr>
          <w:rFonts w:ascii="Nunito" w:hAnsi="Nunito"/>
          <w:sz w:val="22"/>
          <w:szCs w:val="22"/>
        </w:rPr>
        <w:t xml:space="preserve">Se tienen otros costos contemplados que incluyen diseños y permisos, interventoría, gestión ambiental, gestión social, al igual </w:t>
      </w:r>
      <w:r w:rsidRPr="00A5621C">
        <w:rPr>
          <w:rFonts w:ascii="Nunito" w:hAnsi="Nunito"/>
          <w:sz w:val="22"/>
          <w:szCs w:val="22"/>
        </w:rPr>
        <w:t>que equipos necesarios para la operación del poliducto, bajo las normas de aceptación voluntaria de las partes denominadas INCOTERMS, bajo la modalidad DDP o “</w:t>
      </w:r>
      <w:proofErr w:type="spellStart"/>
      <w:r w:rsidRPr="00A5621C">
        <w:rPr>
          <w:rFonts w:ascii="Nunito" w:hAnsi="Nunito"/>
          <w:sz w:val="22"/>
          <w:szCs w:val="22"/>
        </w:rPr>
        <w:t>Delivery</w:t>
      </w:r>
      <w:proofErr w:type="spellEnd"/>
      <w:r w:rsidRPr="00A5621C">
        <w:rPr>
          <w:rFonts w:ascii="Nunito" w:hAnsi="Nunito"/>
          <w:sz w:val="22"/>
          <w:szCs w:val="22"/>
        </w:rPr>
        <w:t xml:space="preserve"> </w:t>
      </w:r>
      <w:proofErr w:type="spellStart"/>
      <w:r w:rsidRPr="00A5621C">
        <w:rPr>
          <w:rFonts w:ascii="Nunito" w:hAnsi="Nunito"/>
          <w:sz w:val="22"/>
          <w:szCs w:val="22"/>
        </w:rPr>
        <w:t>Duty</w:t>
      </w:r>
      <w:proofErr w:type="spellEnd"/>
      <w:r w:rsidRPr="00A5621C">
        <w:rPr>
          <w:rFonts w:ascii="Nunito" w:hAnsi="Nunito"/>
          <w:sz w:val="22"/>
          <w:szCs w:val="22"/>
        </w:rPr>
        <w:t xml:space="preserve"> </w:t>
      </w:r>
      <w:proofErr w:type="spellStart"/>
      <w:r w:rsidRPr="00A5621C">
        <w:rPr>
          <w:rFonts w:ascii="Nunito" w:hAnsi="Nunito"/>
          <w:sz w:val="22"/>
          <w:szCs w:val="22"/>
        </w:rPr>
        <w:t>Paid</w:t>
      </w:r>
      <w:proofErr w:type="spellEnd"/>
      <w:r w:rsidRPr="00A5621C">
        <w:rPr>
          <w:rFonts w:ascii="Nunito" w:hAnsi="Nunito"/>
          <w:sz w:val="22"/>
          <w:szCs w:val="22"/>
        </w:rPr>
        <w:t>”, en donde el vendedor debe poner todos los materiales a disposición del comprador en el lugar acordado.</w:t>
      </w:r>
    </w:p>
    <w:p w14:paraId="6BA02CE6" w14:textId="77777777" w:rsidR="002431CC" w:rsidRPr="00A5621C" w:rsidRDefault="002431CC" w:rsidP="00A5621C">
      <w:pPr>
        <w:spacing w:after="0"/>
        <w:jc w:val="both"/>
        <w:rPr>
          <w:rFonts w:ascii="Nunito" w:hAnsi="Nunito" w:cs="Segoe UI"/>
          <w:sz w:val="22"/>
          <w:szCs w:val="22"/>
          <w:lang w:eastAsia="es-ES"/>
        </w:rPr>
      </w:pPr>
    </w:p>
    <w:p w14:paraId="7AE75675" w14:textId="619503E3" w:rsidR="002431CC" w:rsidRPr="00A5621C" w:rsidRDefault="002431CC" w:rsidP="00A5621C">
      <w:pPr>
        <w:spacing w:after="0"/>
        <w:jc w:val="center"/>
        <w:rPr>
          <w:rFonts w:ascii="Nunito" w:hAnsi="Nunito" w:cs="Segoe UI"/>
          <w:b/>
          <w:bCs/>
          <w:sz w:val="22"/>
          <w:szCs w:val="22"/>
        </w:rPr>
      </w:pPr>
      <w:r w:rsidRPr="00A5621C">
        <w:rPr>
          <w:rFonts w:ascii="Nunito" w:hAnsi="Nunito" w:cs="Segoe UI"/>
          <w:b/>
          <w:bCs/>
          <w:sz w:val="22"/>
          <w:szCs w:val="22"/>
          <w:lang w:eastAsia="es-ES"/>
        </w:rPr>
        <w:t xml:space="preserve">Tabla 3. CAPEX Poliducto entre Yumbo - Pasto </w:t>
      </w:r>
      <w:r w:rsidR="00B123BF" w:rsidRPr="00A5621C">
        <w:rPr>
          <w:rFonts w:ascii="Nunito" w:hAnsi="Nunito" w:cs="Segoe UI"/>
          <w:b/>
          <w:bCs/>
          <w:sz w:val="22"/>
          <w:szCs w:val="22"/>
          <w:lang w:eastAsia="es-ES"/>
        </w:rPr>
        <w:t>/</w:t>
      </w:r>
      <w:r w:rsidRPr="00A5621C">
        <w:rPr>
          <w:rFonts w:ascii="Nunito" w:hAnsi="Nunito" w:cs="Segoe UI"/>
          <w:b/>
          <w:bCs/>
          <w:sz w:val="22"/>
          <w:szCs w:val="22"/>
          <w:lang w:eastAsia="es-ES"/>
        </w:rPr>
        <w:t xml:space="preserve"> Proyecto de 303 Km – 8’’ diámetro. </w:t>
      </w:r>
    </w:p>
    <w:p w14:paraId="17ECBDB8" w14:textId="77777777" w:rsidR="002431CC" w:rsidRPr="00A5621C" w:rsidRDefault="002431CC" w:rsidP="00A5621C">
      <w:pPr>
        <w:spacing w:after="0"/>
        <w:jc w:val="center"/>
        <w:rPr>
          <w:rFonts w:ascii="Nunito" w:hAnsi="Nunito" w:cs="Segoe UI"/>
          <w:sz w:val="22"/>
          <w:szCs w:val="22"/>
          <w:lang w:eastAsia="es-ES"/>
        </w:rPr>
      </w:pPr>
      <w:r w:rsidRPr="00A5621C">
        <w:rPr>
          <w:rFonts w:ascii="Nunito" w:hAnsi="Nunito"/>
          <w:noProof/>
          <w:sz w:val="22"/>
          <w:szCs w:val="22"/>
        </w:rPr>
        <w:drawing>
          <wp:inline distT="0" distB="0" distL="0" distR="0" wp14:anchorId="2608AA96" wp14:editId="7F1ECE76">
            <wp:extent cx="5151338" cy="2514600"/>
            <wp:effectExtent l="19050" t="19050" r="11430" b="19050"/>
            <wp:docPr id="1583686735"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152388" cy="2515113"/>
                    </a:xfrm>
                    <a:prstGeom prst="rect">
                      <a:avLst/>
                    </a:prstGeom>
                    <a:noFill/>
                    <a:ln>
                      <a:solidFill>
                        <a:schemeClr val="tx1"/>
                      </a:solidFill>
                    </a:ln>
                  </pic:spPr>
                </pic:pic>
              </a:graphicData>
            </a:graphic>
          </wp:inline>
        </w:drawing>
      </w:r>
    </w:p>
    <w:p w14:paraId="7036EF04" w14:textId="33A13CD3" w:rsidR="002431CC" w:rsidRPr="00A5621C" w:rsidRDefault="002431CC" w:rsidP="00A5621C">
      <w:pPr>
        <w:spacing w:after="0"/>
        <w:jc w:val="center"/>
        <w:rPr>
          <w:rFonts w:ascii="Nunito" w:hAnsi="Nunito" w:cs="Segoe UI"/>
          <w:sz w:val="18"/>
          <w:szCs w:val="18"/>
          <w:lang w:eastAsia="es-ES"/>
        </w:rPr>
      </w:pPr>
      <w:r w:rsidRPr="00A5621C">
        <w:rPr>
          <w:rFonts w:ascii="Nunito" w:hAnsi="Nunito" w:cs="Segoe UI"/>
          <w:sz w:val="18"/>
          <w:szCs w:val="18"/>
          <w:lang w:eastAsia="es-ES"/>
        </w:rPr>
        <w:t xml:space="preserve">Fuente: </w:t>
      </w:r>
      <w:r w:rsidR="00B123BF" w:rsidRPr="00A5621C">
        <w:rPr>
          <w:rFonts w:ascii="Nunito" w:hAnsi="Nunito" w:cs="Segoe UI"/>
          <w:sz w:val="18"/>
          <w:szCs w:val="18"/>
          <w:lang w:eastAsia="es-ES"/>
        </w:rPr>
        <w:t xml:space="preserve">Elaboración </w:t>
      </w:r>
      <w:r w:rsidRPr="00A5621C">
        <w:rPr>
          <w:rFonts w:ascii="Nunito" w:hAnsi="Nunito" w:cs="Segoe UI"/>
          <w:sz w:val="18"/>
          <w:szCs w:val="18"/>
          <w:lang w:eastAsia="es-ES"/>
        </w:rPr>
        <w:t>UPME</w:t>
      </w:r>
    </w:p>
    <w:p w14:paraId="067C6EFB" w14:textId="77777777" w:rsidR="002431CC" w:rsidRPr="00A5621C" w:rsidRDefault="002431CC" w:rsidP="00A5621C">
      <w:pPr>
        <w:pStyle w:val="ListParagraph"/>
        <w:spacing w:after="0"/>
        <w:ind w:left="480"/>
        <w:jc w:val="both"/>
        <w:rPr>
          <w:rFonts w:ascii="Nunito" w:hAnsi="Nunito"/>
          <w:sz w:val="22"/>
          <w:szCs w:val="22"/>
        </w:rPr>
      </w:pPr>
    </w:p>
    <w:p w14:paraId="6EBA56D7" w14:textId="77777777" w:rsidR="002431CC" w:rsidRDefault="002431CC" w:rsidP="00A56589">
      <w:pPr>
        <w:spacing w:after="0"/>
        <w:jc w:val="both"/>
        <w:rPr>
          <w:rFonts w:ascii="Nunito" w:hAnsi="Nunito"/>
          <w:sz w:val="22"/>
          <w:szCs w:val="22"/>
        </w:rPr>
      </w:pPr>
      <w:r w:rsidRPr="00A5621C">
        <w:rPr>
          <w:rFonts w:ascii="Nunito" w:hAnsi="Nunito"/>
          <w:sz w:val="22"/>
          <w:szCs w:val="22"/>
        </w:rPr>
        <w:lastRenderedPageBreak/>
        <w:t>Como muestra la tabla de la indexación a 2024 según el IPC de los Estados Unidos</w:t>
      </w:r>
      <w:r w:rsidRPr="00A5621C">
        <w:rPr>
          <w:rFonts w:ascii="Nunito" w:hAnsi="Nunito"/>
          <w:sz w:val="22"/>
          <w:szCs w:val="22"/>
          <w:vertAlign w:val="superscript"/>
        </w:rPr>
        <w:footnoteReference w:id="18"/>
      </w:r>
      <w:r w:rsidRPr="00A5621C">
        <w:rPr>
          <w:rFonts w:ascii="Nunito" w:hAnsi="Nunito"/>
          <w:sz w:val="22"/>
          <w:szCs w:val="22"/>
        </w:rPr>
        <w:t xml:space="preserve"> se estiman costos </w:t>
      </w:r>
      <w:r w:rsidRPr="00A56589">
        <w:rPr>
          <w:rFonts w:ascii="Nunito" w:hAnsi="Nunito"/>
          <w:sz w:val="22"/>
          <w:szCs w:val="22"/>
        </w:rPr>
        <w:t>de inversión del orden de $402,7 millones de dólares según la tasa de cambio respectiva</w:t>
      </w:r>
      <w:r w:rsidRPr="00A56589">
        <w:rPr>
          <w:rFonts w:ascii="Nunito" w:hAnsi="Nunito"/>
          <w:sz w:val="22"/>
          <w:szCs w:val="22"/>
          <w:vertAlign w:val="superscript"/>
        </w:rPr>
        <w:footnoteReference w:id="19"/>
      </w:r>
      <w:r w:rsidRPr="00A56589">
        <w:rPr>
          <w:rFonts w:ascii="Nunito" w:hAnsi="Nunito"/>
          <w:sz w:val="22"/>
          <w:szCs w:val="22"/>
        </w:rPr>
        <w:t>.</w:t>
      </w:r>
    </w:p>
    <w:p w14:paraId="19DEF374" w14:textId="77777777" w:rsidR="00AC5B74" w:rsidRPr="00A56589" w:rsidRDefault="00AC5B74" w:rsidP="00A56589">
      <w:pPr>
        <w:spacing w:after="0"/>
        <w:jc w:val="both"/>
        <w:rPr>
          <w:rFonts w:ascii="Nunito" w:eastAsiaTheme="majorEastAsia" w:hAnsi="Nunito" w:cstheme="majorBidi"/>
          <w:b/>
          <w:bCs/>
          <w:color w:val="94C700"/>
          <w:sz w:val="28"/>
          <w:szCs w:val="28"/>
        </w:rPr>
      </w:pPr>
    </w:p>
    <w:p w14:paraId="7DA27721" w14:textId="75432C48" w:rsidR="002431CC" w:rsidRDefault="002431CC" w:rsidP="00A56589">
      <w:pPr>
        <w:pStyle w:val="Heading2"/>
        <w:numPr>
          <w:ilvl w:val="2"/>
          <w:numId w:val="20"/>
        </w:numPr>
        <w:spacing w:before="0" w:after="0"/>
        <w:rPr>
          <w:rFonts w:ascii="Nunito" w:hAnsi="Nunito"/>
          <w:b/>
          <w:bCs/>
          <w:color w:val="94C700"/>
          <w:sz w:val="28"/>
          <w:szCs w:val="28"/>
        </w:rPr>
      </w:pPr>
      <w:r w:rsidRPr="00A56589">
        <w:rPr>
          <w:rFonts w:ascii="Nunito" w:hAnsi="Nunito"/>
          <w:b/>
          <w:bCs/>
          <w:color w:val="94C700"/>
          <w:sz w:val="28"/>
          <w:szCs w:val="28"/>
        </w:rPr>
        <w:t>Análisis económico de externalidades</w:t>
      </w:r>
    </w:p>
    <w:p w14:paraId="08C85501" w14:textId="77777777" w:rsidR="00A56589" w:rsidRPr="00A56589" w:rsidRDefault="00A56589" w:rsidP="00A5621C">
      <w:pPr>
        <w:spacing w:after="0"/>
      </w:pPr>
    </w:p>
    <w:p w14:paraId="5CC12519" w14:textId="77777777" w:rsidR="002431CC" w:rsidRPr="00A56589" w:rsidRDefault="002431CC" w:rsidP="00A56589">
      <w:pPr>
        <w:spacing w:after="0"/>
        <w:jc w:val="both"/>
        <w:rPr>
          <w:rFonts w:ascii="Nunito" w:hAnsi="Nunito"/>
          <w:sz w:val="22"/>
          <w:szCs w:val="22"/>
        </w:rPr>
      </w:pPr>
      <w:r w:rsidRPr="00A56589">
        <w:rPr>
          <w:rFonts w:ascii="Nunito" w:hAnsi="Nunito"/>
          <w:sz w:val="22"/>
          <w:szCs w:val="22"/>
        </w:rPr>
        <w:t>En esta sección se realiza un breve análisis donde se monetizan los costos y beneficios relacionados con las externalidades positivas y negativas sobre el ecosistema, las comunidades y las dinámicas socioeconómicas preexistentes en la realización del proyecto Yumbo – Pasto. Para ello, la UPME reconstruyó los resultados de la consultoría acerca de condicionantes del territorio y análisis costo beneficio realizados en el año 2022</w:t>
      </w:r>
      <w:r w:rsidRPr="00A56589">
        <w:rPr>
          <w:rFonts w:ascii="Nunito" w:hAnsi="Nunito"/>
          <w:sz w:val="22"/>
          <w:szCs w:val="22"/>
          <w:vertAlign w:val="superscript"/>
        </w:rPr>
        <w:footnoteReference w:id="20"/>
      </w:r>
    </w:p>
    <w:p w14:paraId="78B91083" w14:textId="77777777" w:rsidR="002431CC" w:rsidRPr="00A56589" w:rsidRDefault="002431CC" w:rsidP="00A56589">
      <w:pPr>
        <w:spacing w:after="0"/>
        <w:jc w:val="both"/>
        <w:rPr>
          <w:rFonts w:ascii="Nunito" w:hAnsi="Nunito"/>
          <w:sz w:val="22"/>
          <w:szCs w:val="22"/>
        </w:rPr>
      </w:pPr>
    </w:p>
    <w:p w14:paraId="21B779A0" w14:textId="3926A30B" w:rsidR="00A56589" w:rsidRPr="00A56589" w:rsidRDefault="002431CC" w:rsidP="00A56589">
      <w:pPr>
        <w:spacing w:after="0"/>
        <w:jc w:val="both"/>
        <w:rPr>
          <w:rFonts w:ascii="Nunito" w:hAnsi="Nunito"/>
          <w:sz w:val="22"/>
          <w:szCs w:val="22"/>
        </w:rPr>
      </w:pPr>
      <w:r w:rsidRPr="00A56589">
        <w:rPr>
          <w:rFonts w:ascii="Nunito" w:hAnsi="Nunito"/>
          <w:sz w:val="22"/>
          <w:szCs w:val="22"/>
        </w:rPr>
        <w:t>La relación Beneficio/Costo socioambiental se obtiene al considerar entre todas las variables propuestas solo los beneficios socioambientales, los costos normativos y los costos socioambientales para el proyecto. En este caso elementos que componen la relación beneficio/costo socioambiental se muestran en la siguiente tabla.</w:t>
      </w:r>
    </w:p>
    <w:p w14:paraId="26B8F9B3" w14:textId="77777777" w:rsidR="002431CC" w:rsidRPr="00A56589" w:rsidRDefault="002431CC" w:rsidP="00A56589">
      <w:pPr>
        <w:spacing w:after="0"/>
        <w:jc w:val="both"/>
        <w:rPr>
          <w:rFonts w:ascii="Nunito" w:hAnsi="Nunito" w:cs="Segoe UI"/>
          <w:sz w:val="22"/>
          <w:szCs w:val="22"/>
          <w:lang w:eastAsia="es-ES"/>
        </w:rPr>
      </w:pPr>
    </w:p>
    <w:p w14:paraId="21501EDF" w14:textId="77777777" w:rsidR="002431CC" w:rsidRPr="00A56589" w:rsidRDefault="002431CC" w:rsidP="00A56589">
      <w:pPr>
        <w:spacing w:after="0"/>
        <w:jc w:val="center"/>
        <w:rPr>
          <w:rFonts w:ascii="Nunito" w:hAnsi="Nunito" w:cs="Segoe UI"/>
          <w:b/>
          <w:bCs/>
          <w:sz w:val="22"/>
          <w:szCs w:val="22"/>
        </w:rPr>
      </w:pPr>
      <w:r w:rsidRPr="00A56589">
        <w:rPr>
          <w:rFonts w:ascii="Nunito" w:hAnsi="Nunito" w:cs="Segoe UI"/>
          <w:b/>
          <w:bCs/>
          <w:sz w:val="22"/>
          <w:szCs w:val="22"/>
          <w:lang w:eastAsia="es-ES"/>
        </w:rPr>
        <w:t>Tabla 4. Variables análisis beneficio/costo socioambiental.</w:t>
      </w:r>
    </w:p>
    <w:tbl>
      <w:tblPr>
        <w:tblW w:w="8804" w:type="dxa"/>
        <w:jc w:val="center"/>
        <w:tblCellMar>
          <w:left w:w="70" w:type="dxa"/>
          <w:right w:w="70" w:type="dxa"/>
        </w:tblCellMar>
        <w:tblLook w:val="04A0" w:firstRow="1" w:lastRow="0" w:firstColumn="1" w:lastColumn="0" w:noHBand="0" w:noVBand="1"/>
      </w:tblPr>
      <w:tblGrid>
        <w:gridCol w:w="3016"/>
        <w:gridCol w:w="5788"/>
      </w:tblGrid>
      <w:tr w:rsidR="00BC547D" w:rsidRPr="00BC547D" w14:paraId="72917196" w14:textId="77777777" w:rsidTr="00A5621C">
        <w:trPr>
          <w:trHeight w:val="337"/>
          <w:jc w:val="center"/>
        </w:trPr>
        <w:tc>
          <w:tcPr>
            <w:tcW w:w="3016" w:type="dxa"/>
            <w:tcBorders>
              <w:top w:val="single" w:sz="4" w:space="0" w:color="auto"/>
              <w:left w:val="single" w:sz="4" w:space="0" w:color="auto"/>
              <w:bottom w:val="single" w:sz="4" w:space="0" w:color="auto"/>
              <w:right w:val="single" w:sz="4" w:space="0" w:color="auto"/>
            </w:tcBorders>
            <w:shd w:val="clear" w:color="000000" w:fill="E2EFDA"/>
            <w:vAlign w:val="center"/>
            <w:hideMark/>
          </w:tcPr>
          <w:p w14:paraId="09FD9076" w14:textId="77777777" w:rsidR="00307FB0" w:rsidRPr="00A5621C" w:rsidRDefault="00307FB0" w:rsidP="00307FB0">
            <w:pPr>
              <w:spacing w:after="0" w:line="240" w:lineRule="auto"/>
              <w:jc w:val="center"/>
              <w:rPr>
                <w:rFonts w:ascii="Nunito" w:eastAsia="Times New Roman" w:hAnsi="Nunito" w:cs="Calibri"/>
                <w:b/>
                <w:bCs/>
                <w:color w:val="000000"/>
                <w:kern w:val="0"/>
                <w:sz w:val="18"/>
                <w:szCs w:val="18"/>
                <w:lang w:val="es-CO" w:eastAsia="es-CO"/>
                <w14:ligatures w14:val="none"/>
              </w:rPr>
            </w:pPr>
            <w:r w:rsidRPr="00A5621C">
              <w:rPr>
                <w:rFonts w:ascii="Nunito" w:eastAsia="Times New Roman" w:hAnsi="Nunito" w:cs="Calibri"/>
                <w:b/>
                <w:bCs/>
                <w:color w:val="000000"/>
                <w:kern w:val="0"/>
                <w:sz w:val="18"/>
                <w:szCs w:val="18"/>
                <w:lang w:eastAsia="es-CO"/>
                <w14:ligatures w14:val="none"/>
              </w:rPr>
              <w:t>Costos</w:t>
            </w:r>
          </w:p>
        </w:tc>
        <w:tc>
          <w:tcPr>
            <w:tcW w:w="5788" w:type="dxa"/>
            <w:tcBorders>
              <w:top w:val="single" w:sz="4" w:space="0" w:color="auto"/>
              <w:left w:val="nil"/>
              <w:bottom w:val="single" w:sz="4" w:space="0" w:color="auto"/>
              <w:right w:val="single" w:sz="4" w:space="0" w:color="auto"/>
            </w:tcBorders>
            <w:shd w:val="clear" w:color="000000" w:fill="E2EFDA"/>
            <w:vAlign w:val="center"/>
            <w:hideMark/>
          </w:tcPr>
          <w:p w14:paraId="5F9BAEE5" w14:textId="77777777" w:rsidR="00307FB0" w:rsidRPr="00A5621C" w:rsidRDefault="00307FB0" w:rsidP="00307FB0">
            <w:pPr>
              <w:spacing w:after="0" w:line="240" w:lineRule="auto"/>
              <w:jc w:val="center"/>
              <w:rPr>
                <w:rFonts w:ascii="Nunito" w:eastAsia="Times New Roman" w:hAnsi="Nunito" w:cs="Calibri"/>
                <w:b/>
                <w:bCs/>
                <w:color w:val="000000"/>
                <w:kern w:val="0"/>
                <w:sz w:val="18"/>
                <w:szCs w:val="18"/>
                <w:lang w:val="es-CO" w:eastAsia="es-CO"/>
                <w14:ligatures w14:val="none"/>
              </w:rPr>
            </w:pPr>
            <w:r w:rsidRPr="00A5621C">
              <w:rPr>
                <w:rFonts w:ascii="Nunito" w:eastAsia="Times New Roman" w:hAnsi="Nunito" w:cs="Calibri"/>
                <w:b/>
                <w:bCs/>
                <w:color w:val="000000"/>
                <w:kern w:val="0"/>
                <w:sz w:val="18"/>
                <w:szCs w:val="18"/>
                <w:lang w:eastAsia="es-CO"/>
                <w14:ligatures w14:val="none"/>
              </w:rPr>
              <w:t>Beneficios</w:t>
            </w:r>
          </w:p>
        </w:tc>
      </w:tr>
      <w:tr w:rsidR="00BC547D" w:rsidRPr="00BC547D" w14:paraId="594E7D70" w14:textId="77777777" w:rsidTr="00307FB0">
        <w:trPr>
          <w:trHeight w:val="594"/>
          <w:jc w:val="center"/>
        </w:trPr>
        <w:tc>
          <w:tcPr>
            <w:tcW w:w="3016" w:type="dxa"/>
            <w:tcBorders>
              <w:top w:val="nil"/>
              <w:left w:val="single" w:sz="4" w:space="0" w:color="auto"/>
              <w:bottom w:val="single" w:sz="4" w:space="0" w:color="auto"/>
              <w:right w:val="single" w:sz="4" w:space="0" w:color="auto"/>
            </w:tcBorders>
            <w:shd w:val="clear" w:color="000000" w:fill="FFFFFF"/>
            <w:vAlign w:val="center"/>
            <w:hideMark/>
          </w:tcPr>
          <w:p w14:paraId="50BF84FF" w14:textId="77777777" w:rsidR="00307FB0" w:rsidRPr="00A5621C" w:rsidRDefault="00307FB0" w:rsidP="00307FB0">
            <w:pPr>
              <w:spacing w:after="0" w:line="240" w:lineRule="auto"/>
              <w:rPr>
                <w:rFonts w:ascii="Nunito" w:eastAsia="Times New Roman" w:hAnsi="Nunito" w:cs="Calibri"/>
                <w:color w:val="000000"/>
                <w:kern w:val="0"/>
                <w:sz w:val="18"/>
                <w:szCs w:val="18"/>
                <w:lang w:val="es-CO" w:eastAsia="es-CO"/>
                <w14:ligatures w14:val="none"/>
              </w:rPr>
            </w:pPr>
            <w:r w:rsidRPr="00A5621C">
              <w:rPr>
                <w:rFonts w:ascii="Nunito" w:eastAsia="Times New Roman" w:hAnsi="Nunito" w:cs="Calibri"/>
                <w:color w:val="000000"/>
                <w:kern w:val="0"/>
                <w:sz w:val="18"/>
                <w:szCs w:val="18"/>
                <w:lang w:eastAsia="es-CO"/>
                <w14:ligatures w14:val="none"/>
              </w:rPr>
              <w:t>Costos servicio ecosistémico de erosión </w:t>
            </w:r>
          </w:p>
        </w:tc>
        <w:tc>
          <w:tcPr>
            <w:tcW w:w="5788" w:type="dxa"/>
            <w:tcBorders>
              <w:top w:val="nil"/>
              <w:left w:val="nil"/>
              <w:bottom w:val="single" w:sz="4" w:space="0" w:color="auto"/>
              <w:right w:val="single" w:sz="4" w:space="0" w:color="auto"/>
            </w:tcBorders>
            <w:shd w:val="clear" w:color="auto" w:fill="auto"/>
            <w:vAlign w:val="center"/>
            <w:hideMark/>
          </w:tcPr>
          <w:p w14:paraId="5E5E0E11" w14:textId="77777777" w:rsidR="00307FB0" w:rsidRPr="00A5621C" w:rsidRDefault="00307FB0" w:rsidP="00307FB0">
            <w:pPr>
              <w:spacing w:after="0" w:line="240" w:lineRule="auto"/>
              <w:rPr>
                <w:rFonts w:ascii="Nunito" w:eastAsia="Times New Roman" w:hAnsi="Nunito" w:cs="Calibri"/>
                <w:color w:val="000000"/>
                <w:kern w:val="0"/>
                <w:sz w:val="18"/>
                <w:szCs w:val="18"/>
                <w:lang w:val="es-CO" w:eastAsia="es-CO"/>
                <w14:ligatures w14:val="none"/>
              </w:rPr>
            </w:pPr>
            <w:r w:rsidRPr="00A5621C">
              <w:rPr>
                <w:rFonts w:ascii="Nunito" w:eastAsia="Times New Roman" w:hAnsi="Nunito" w:cs="Calibri"/>
                <w:color w:val="000000"/>
                <w:kern w:val="0"/>
                <w:sz w:val="18"/>
                <w:szCs w:val="18"/>
                <w:lang w:eastAsia="es-ES"/>
                <w14:ligatures w14:val="none"/>
              </w:rPr>
              <w:t>Beneficio por encadenamiento productivo (Impacto de la inversión en el encadenamiento productivo)</w:t>
            </w:r>
          </w:p>
        </w:tc>
      </w:tr>
      <w:tr w:rsidR="00BC547D" w:rsidRPr="00BC547D" w14:paraId="0B8EBB89" w14:textId="77777777" w:rsidTr="00307FB0">
        <w:trPr>
          <w:trHeight w:val="297"/>
          <w:jc w:val="center"/>
        </w:trPr>
        <w:tc>
          <w:tcPr>
            <w:tcW w:w="3016" w:type="dxa"/>
            <w:tcBorders>
              <w:top w:val="nil"/>
              <w:left w:val="single" w:sz="4" w:space="0" w:color="auto"/>
              <w:bottom w:val="single" w:sz="4" w:space="0" w:color="auto"/>
              <w:right w:val="single" w:sz="4" w:space="0" w:color="auto"/>
            </w:tcBorders>
            <w:shd w:val="clear" w:color="000000" w:fill="FFFFFF"/>
            <w:vAlign w:val="center"/>
            <w:hideMark/>
          </w:tcPr>
          <w:p w14:paraId="332F14AB" w14:textId="77777777" w:rsidR="00307FB0" w:rsidRPr="00A5621C" w:rsidRDefault="00307FB0" w:rsidP="00307FB0">
            <w:pPr>
              <w:spacing w:after="0" w:line="240" w:lineRule="auto"/>
              <w:rPr>
                <w:rFonts w:ascii="Nunito" w:eastAsia="Times New Roman" w:hAnsi="Nunito" w:cs="Calibri"/>
                <w:color w:val="000000"/>
                <w:kern w:val="0"/>
                <w:sz w:val="18"/>
                <w:szCs w:val="18"/>
                <w:lang w:val="es-CO" w:eastAsia="es-CO"/>
                <w14:ligatures w14:val="none"/>
              </w:rPr>
            </w:pPr>
            <w:r w:rsidRPr="00A5621C">
              <w:rPr>
                <w:rFonts w:ascii="Nunito" w:eastAsia="Times New Roman" w:hAnsi="Nunito" w:cs="Calibri"/>
                <w:color w:val="000000"/>
                <w:kern w:val="0"/>
                <w:sz w:val="18"/>
                <w:szCs w:val="18"/>
                <w:lang w:eastAsia="es-CO"/>
                <w14:ligatures w14:val="none"/>
              </w:rPr>
              <w:t>Costos de movimientos en masa</w:t>
            </w:r>
          </w:p>
        </w:tc>
        <w:tc>
          <w:tcPr>
            <w:tcW w:w="5788" w:type="dxa"/>
            <w:tcBorders>
              <w:top w:val="nil"/>
              <w:left w:val="nil"/>
              <w:bottom w:val="single" w:sz="4" w:space="0" w:color="auto"/>
              <w:right w:val="single" w:sz="4" w:space="0" w:color="auto"/>
            </w:tcBorders>
            <w:shd w:val="clear" w:color="auto" w:fill="auto"/>
            <w:vAlign w:val="center"/>
            <w:hideMark/>
          </w:tcPr>
          <w:p w14:paraId="3038BBF0" w14:textId="77777777" w:rsidR="00307FB0" w:rsidRPr="00A5621C" w:rsidRDefault="00307FB0" w:rsidP="00307FB0">
            <w:pPr>
              <w:spacing w:after="0" w:line="240" w:lineRule="auto"/>
              <w:rPr>
                <w:rFonts w:ascii="Nunito" w:eastAsia="Times New Roman" w:hAnsi="Nunito" w:cs="Calibri"/>
                <w:color w:val="000000"/>
                <w:kern w:val="0"/>
                <w:sz w:val="18"/>
                <w:szCs w:val="18"/>
                <w:lang w:val="es-CO" w:eastAsia="es-CO"/>
                <w14:ligatures w14:val="none"/>
              </w:rPr>
            </w:pPr>
            <w:r w:rsidRPr="00A5621C">
              <w:rPr>
                <w:rFonts w:ascii="Nunito" w:eastAsia="Times New Roman" w:hAnsi="Nunito" w:cs="Calibri"/>
                <w:color w:val="000000"/>
                <w:kern w:val="0"/>
                <w:sz w:val="18"/>
                <w:szCs w:val="18"/>
                <w:lang w:eastAsia="es-ES"/>
                <w14:ligatures w14:val="none"/>
              </w:rPr>
              <w:t>Beneficio por encadenamiento productivo (hacia delante y hacia atrás)</w:t>
            </w:r>
          </w:p>
        </w:tc>
      </w:tr>
      <w:tr w:rsidR="00BC547D" w:rsidRPr="00BC547D" w14:paraId="69DEA7A5" w14:textId="77777777" w:rsidTr="00307FB0">
        <w:trPr>
          <w:trHeight w:val="594"/>
          <w:jc w:val="center"/>
        </w:trPr>
        <w:tc>
          <w:tcPr>
            <w:tcW w:w="3016" w:type="dxa"/>
            <w:tcBorders>
              <w:top w:val="nil"/>
              <w:left w:val="single" w:sz="4" w:space="0" w:color="auto"/>
              <w:bottom w:val="single" w:sz="4" w:space="0" w:color="auto"/>
              <w:right w:val="single" w:sz="4" w:space="0" w:color="auto"/>
            </w:tcBorders>
            <w:shd w:val="clear" w:color="000000" w:fill="FFFFFF"/>
            <w:vAlign w:val="center"/>
            <w:hideMark/>
          </w:tcPr>
          <w:p w14:paraId="7DBD25F9" w14:textId="77777777" w:rsidR="00307FB0" w:rsidRPr="00A5621C" w:rsidRDefault="00307FB0" w:rsidP="00307FB0">
            <w:pPr>
              <w:spacing w:after="0" w:line="240" w:lineRule="auto"/>
              <w:rPr>
                <w:rFonts w:ascii="Nunito" w:eastAsia="Times New Roman" w:hAnsi="Nunito" w:cs="Calibri"/>
                <w:color w:val="000000"/>
                <w:kern w:val="0"/>
                <w:sz w:val="18"/>
                <w:szCs w:val="18"/>
                <w:lang w:val="es-CO" w:eastAsia="es-CO"/>
                <w14:ligatures w14:val="none"/>
              </w:rPr>
            </w:pPr>
            <w:r w:rsidRPr="00A5621C">
              <w:rPr>
                <w:rFonts w:ascii="Nunito" w:eastAsia="Times New Roman" w:hAnsi="Nunito" w:cs="Calibri"/>
                <w:color w:val="000000"/>
                <w:kern w:val="0"/>
                <w:sz w:val="18"/>
                <w:szCs w:val="18"/>
                <w:lang w:eastAsia="es-CO"/>
                <w14:ligatures w14:val="none"/>
              </w:rPr>
              <w:t>Costos eventos meteorológicos y catástrofes</w:t>
            </w:r>
          </w:p>
        </w:tc>
        <w:tc>
          <w:tcPr>
            <w:tcW w:w="5788" w:type="dxa"/>
            <w:tcBorders>
              <w:top w:val="nil"/>
              <w:left w:val="nil"/>
              <w:bottom w:val="single" w:sz="4" w:space="0" w:color="auto"/>
              <w:right w:val="single" w:sz="4" w:space="0" w:color="auto"/>
            </w:tcBorders>
            <w:shd w:val="clear" w:color="auto" w:fill="auto"/>
            <w:vAlign w:val="center"/>
            <w:hideMark/>
          </w:tcPr>
          <w:p w14:paraId="5C66ABEE" w14:textId="77777777" w:rsidR="00307FB0" w:rsidRPr="00A5621C" w:rsidRDefault="00307FB0" w:rsidP="00307FB0">
            <w:pPr>
              <w:spacing w:after="0" w:line="240" w:lineRule="auto"/>
              <w:rPr>
                <w:rFonts w:ascii="Nunito" w:eastAsia="Times New Roman" w:hAnsi="Nunito" w:cs="Calibri"/>
                <w:color w:val="000000"/>
                <w:kern w:val="0"/>
                <w:sz w:val="18"/>
                <w:szCs w:val="18"/>
                <w:lang w:val="es-CO" w:eastAsia="es-CO"/>
                <w14:ligatures w14:val="none"/>
              </w:rPr>
            </w:pPr>
            <w:r w:rsidRPr="00A5621C">
              <w:rPr>
                <w:rFonts w:ascii="Nunito" w:eastAsia="Times New Roman" w:hAnsi="Nunito" w:cs="Calibri"/>
                <w:color w:val="000000"/>
                <w:kern w:val="0"/>
                <w:sz w:val="18"/>
                <w:szCs w:val="18"/>
                <w:lang w:eastAsia="es-ES"/>
                <w14:ligatures w14:val="none"/>
              </w:rPr>
              <w:t>Beneficios por reducción de restricciones de red </w:t>
            </w:r>
          </w:p>
        </w:tc>
      </w:tr>
      <w:tr w:rsidR="00BC547D" w:rsidRPr="00BC547D" w14:paraId="4ADBBFDD" w14:textId="77777777" w:rsidTr="00307FB0">
        <w:trPr>
          <w:trHeight w:val="297"/>
          <w:jc w:val="center"/>
        </w:trPr>
        <w:tc>
          <w:tcPr>
            <w:tcW w:w="3016" w:type="dxa"/>
            <w:tcBorders>
              <w:top w:val="nil"/>
              <w:left w:val="single" w:sz="4" w:space="0" w:color="auto"/>
              <w:bottom w:val="single" w:sz="4" w:space="0" w:color="auto"/>
              <w:right w:val="single" w:sz="4" w:space="0" w:color="auto"/>
            </w:tcBorders>
            <w:shd w:val="clear" w:color="000000" w:fill="FFFFFF"/>
            <w:vAlign w:val="center"/>
            <w:hideMark/>
          </w:tcPr>
          <w:p w14:paraId="1DD24B25" w14:textId="77777777" w:rsidR="00307FB0" w:rsidRPr="00A5621C" w:rsidRDefault="00307FB0" w:rsidP="00307FB0">
            <w:pPr>
              <w:spacing w:after="0" w:line="240" w:lineRule="auto"/>
              <w:rPr>
                <w:rFonts w:ascii="Nunito" w:eastAsia="Times New Roman" w:hAnsi="Nunito" w:cs="Calibri"/>
                <w:color w:val="000000"/>
                <w:kern w:val="0"/>
                <w:sz w:val="18"/>
                <w:szCs w:val="18"/>
                <w:lang w:val="es-CO" w:eastAsia="es-CO"/>
                <w14:ligatures w14:val="none"/>
              </w:rPr>
            </w:pPr>
            <w:r w:rsidRPr="00A5621C">
              <w:rPr>
                <w:rFonts w:ascii="Nunito" w:eastAsia="Times New Roman" w:hAnsi="Nunito" w:cs="Calibri"/>
                <w:color w:val="000000"/>
                <w:kern w:val="0"/>
                <w:sz w:val="18"/>
                <w:szCs w:val="18"/>
                <w:lang w:eastAsia="es-CO"/>
                <w14:ligatures w14:val="none"/>
              </w:rPr>
              <w:t>Costo de compensaciones ambientales </w:t>
            </w:r>
          </w:p>
        </w:tc>
        <w:tc>
          <w:tcPr>
            <w:tcW w:w="5788" w:type="dxa"/>
            <w:tcBorders>
              <w:top w:val="nil"/>
              <w:left w:val="nil"/>
              <w:bottom w:val="single" w:sz="4" w:space="0" w:color="auto"/>
              <w:right w:val="single" w:sz="4" w:space="0" w:color="auto"/>
            </w:tcBorders>
            <w:shd w:val="clear" w:color="auto" w:fill="auto"/>
            <w:vAlign w:val="center"/>
            <w:hideMark/>
          </w:tcPr>
          <w:p w14:paraId="27999AFE" w14:textId="77777777" w:rsidR="00307FB0" w:rsidRPr="00A5621C" w:rsidRDefault="00307FB0" w:rsidP="00307FB0">
            <w:pPr>
              <w:spacing w:after="0" w:line="240" w:lineRule="auto"/>
              <w:rPr>
                <w:rFonts w:ascii="Nunito" w:eastAsia="Times New Roman" w:hAnsi="Nunito" w:cs="Calibri"/>
                <w:color w:val="000000"/>
                <w:kern w:val="0"/>
                <w:sz w:val="18"/>
                <w:szCs w:val="18"/>
                <w:lang w:val="es-CO" w:eastAsia="es-CO"/>
                <w14:ligatures w14:val="none"/>
              </w:rPr>
            </w:pPr>
            <w:r w:rsidRPr="00A5621C">
              <w:rPr>
                <w:rFonts w:ascii="Nunito" w:eastAsia="Times New Roman" w:hAnsi="Nunito" w:cs="Calibri"/>
                <w:color w:val="000000"/>
                <w:kern w:val="0"/>
                <w:sz w:val="18"/>
                <w:szCs w:val="18"/>
                <w:lang w:eastAsia="es-ES"/>
                <w14:ligatures w14:val="none"/>
              </w:rPr>
              <w:t>Beneficio por ahorro en costos de interrupción del servicio (gas)</w:t>
            </w:r>
          </w:p>
        </w:tc>
      </w:tr>
      <w:tr w:rsidR="00BC547D" w:rsidRPr="00BC547D" w14:paraId="7CF413B8" w14:textId="77777777" w:rsidTr="00307FB0">
        <w:trPr>
          <w:trHeight w:val="594"/>
          <w:jc w:val="center"/>
        </w:trPr>
        <w:tc>
          <w:tcPr>
            <w:tcW w:w="3016" w:type="dxa"/>
            <w:tcBorders>
              <w:top w:val="nil"/>
              <w:left w:val="single" w:sz="4" w:space="0" w:color="auto"/>
              <w:bottom w:val="single" w:sz="4" w:space="0" w:color="auto"/>
              <w:right w:val="single" w:sz="4" w:space="0" w:color="auto"/>
            </w:tcBorders>
            <w:shd w:val="clear" w:color="000000" w:fill="FFFFFF"/>
            <w:vAlign w:val="center"/>
            <w:hideMark/>
          </w:tcPr>
          <w:p w14:paraId="6B5C66F6" w14:textId="77777777" w:rsidR="00307FB0" w:rsidRPr="00A5621C" w:rsidRDefault="00307FB0" w:rsidP="00307FB0">
            <w:pPr>
              <w:spacing w:after="0" w:line="240" w:lineRule="auto"/>
              <w:rPr>
                <w:rFonts w:ascii="Nunito" w:eastAsia="Times New Roman" w:hAnsi="Nunito" w:cs="Calibri"/>
                <w:color w:val="000000"/>
                <w:kern w:val="0"/>
                <w:sz w:val="18"/>
                <w:szCs w:val="18"/>
                <w:lang w:val="es-CO" w:eastAsia="es-CO"/>
                <w14:ligatures w14:val="none"/>
              </w:rPr>
            </w:pPr>
            <w:r w:rsidRPr="00A5621C">
              <w:rPr>
                <w:rFonts w:ascii="Nunito" w:eastAsia="Times New Roman" w:hAnsi="Nunito" w:cs="Calibri"/>
                <w:color w:val="000000"/>
                <w:kern w:val="0"/>
                <w:sz w:val="18"/>
                <w:szCs w:val="18"/>
                <w:lang w:eastAsia="es-CO"/>
                <w14:ligatures w14:val="none"/>
              </w:rPr>
              <w:t>Valoración de la infraestructura representativa afectada</w:t>
            </w:r>
          </w:p>
        </w:tc>
        <w:tc>
          <w:tcPr>
            <w:tcW w:w="5788" w:type="dxa"/>
            <w:tcBorders>
              <w:top w:val="nil"/>
              <w:left w:val="nil"/>
              <w:bottom w:val="single" w:sz="4" w:space="0" w:color="auto"/>
              <w:right w:val="single" w:sz="4" w:space="0" w:color="auto"/>
            </w:tcBorders>
            <w:shd w:val="clear" w:color="auto" w:fill="auto"/>
            <w:vAlign w:val="center"/>
            <w:hideMark/>
          </w:tcPr>
          <w:p w14:paraId="52E6D7DD" w14:textId="77777777" w:rsidR="00307FB0" w:rsidRPr="00A5621C" w:rsidRDefault="00307FB0" w:rsidP="00307FB0">
            <w:pPr>
              <w:spacing w:after="0" w:line="240" w:lineRule="auto"/>
              <w:rPr>
                <w:rFonts w:ascii="Nunito" w:eastAsia="Times New Roman" w:hAnsi="Nunito" w:cs="Calibri"/>
                <w:color w:val="000000"/>
                <w:kern w:val="0"/>
                <w:sz w:val="18"/>
                <w:szCs w:val="18"/>
                <w:lang w:val="es-CO" w:eastAsia="es-CO"/>
                <w14:ligatures w14:val="none"/>
              </w:rPr>
            </w:pPr>
            <w:r w:rsidRPr="00A5621C">
              <w:rPr>
                <w:rFonts w:ascii="Nunito" w:eastAsia="Times New Roman" w:hAnsi="Nunito" w:cs="Calibri"/>
                <w:color w:val="000000"/>
                <w:kern w:val="0"/>
                <w:sz w:val="18"/>
                <w:szCs w:val="18"/>
                <w:lang w:eastAsia="es-ES"/>
                <w14:ligatures w14:val="none"/>
              </w:rPr>
              <w:t>Beneficio por ahorro en costos de interrupción del servicio (combustibles)</w:t>
            </w:r>
          </w:p>
        </w:tc>
      </w:tr>
      <w:tr w:rsidR="00BC547D" w:rsidRPr="00BC547D" w14:paraId="53AADC96" w14:textId="77777777" w:rsidTr="00307FB0">
        <w:trPr>
          <w:trHeight w:val="594"/>
          <w:jc w:val="center"/>
        </w:trPr>
        <w:tc>
          <w:tcPr>
            <w:tcW w:w="3016" w:type="dxa"/>
            <w:tcBorders>
              <w:top w:val="nil"/>
              <w:left w:val="single" w:sz="4" w:space="0" w:color="auto"/>
              <w:bottom w:val="single" w:sz="4" w:space="0" w:color="auto"/>
              <w:right w:val="single" w:sz="4" w:space="0" w:color="auto"/>
            </w:tcBorders>
            <w:shd w:val="clear" w:color="000000" w:fill="FFFFFF"/>
            <w:vAlign w:val="center"/>
            <w:hideMark/>
          </w:tcPr>
          <w:p w14:paraId="3AA58343" w14:textId="77777777" w:rsidR="00307FB0" w:rsidRPr="00A5621C" w:rsidRDefault="00307FB0" w:rsidP="00307FB0">
            <w:pPr>
              <w:spacing w:after="0" w:line="240" w:lineRule="auto"/>
              <w:rPr>
                <w:rFonts w:ascii="Nunito" w:eastAsia="Times New Roman" w:hAnsi="Nunito" w:cs="Calibri"/>
                <w:color w:val="000000"/>
                <w:kern w:val="0"/>
                <w:sz w:val="18"/>
                <w:szCs w:val="18"/>
                <w:lang w:val="es-CO" w:eastAsia="es-CO"/>
                <w14:ligatures w14:val="none"/>
              </w:rPr>
            </w:pPr>
            <w:r w:rsidRPr="00A5621C">
              <w:rPr>
                <w:rFonts w:ascii="Nunito" w:eastAsia="Times New Roman" w:hAnsi="Nunito" w:cs="Calibri"/>
                <w:color w:val="000000"/>
                <w:kern w:val="0"/>
                <w:sz w:val="18"/>
                <w:szCs w:val="18"/>
                <w:lang w:eastAsia="es-CO"/>
                <w14:ligatures w14:val="none"/>
              </w:rPr>
              <w:t>Costos licenciamiento ambiental y trámites</w:t>
            </w:r>
          </w:p>
        </w:tc>
        <w:tc>
          <w:tcPr>
            <w:tcW w:w="5788" w:type="dxa"/>
            <w:tcBorders>
              <w:top w:val="nil"/>
              <w:left w:val="nil"/>
              <w:bottom w:val="single" w:sz="4" w:space="0" w:color="auto"/>
              <w:right w:val="single" w:sz="4" w:space="0" w:color="auto"/>
            </w:tcBorders>
            <w:shd w:val="clear" w:color="auto" w:fill="auto"/>
            <w:vAlign w:val="center"/>
            <w:hideMark/>
          </w:tcPr>
          <w:p w14:paraId="7AA98045" w14:textId="77777777" w:rsidR="00307FB0" w:rsidRPr="00A5621C" w:rsidRDefault="00307FB0" w:rsidP="00307FB0">
            <w:pPr>
              <w:spacing w:after="0" w:line="240" w:lineRule="auto"/>
              <w:rPr>
                <w:rFonts w:ascii="Nunito" w:eastAsia="Times New Roman" w:hAnsi="Nunito" w:cs="Calibri"/>
                <w:color w:val="000000"/>
                <w:kern w:val="0"/>
                <w:sz w:val="18"/>
                <w:szCs w:val="18"/>
                <w:lang w:val="es-CO" w:eastAsia="es-CO"/>
                <w14:ligatures w14:val="none"/>
              </w:rPr>
            </w:pPr>
            <w:r w:rsidRPr="00A5621C">
              <w:rPr>
                <w:rFonts w:ascii="Nunito" w:eastAsia="Times New Roman" w:hAnsi="Nunito" w:cs="Calibri"/>
                <w:color w:val="000000"/>
                <w:kern w:val="0"/>
                <w:sz w:val="18"/>
                <w:szCs w:val="18"/>
                <w:lang w:eastAsia="es-ES"/>
                <w14:ligatures w14:val="none"/>
              </w:rPr>
              <w:t>Beneficio por reducción de costos respecto a otras alternativas de transporte de hidrocarburos</w:t>
            </w:r>
          </w:p>
        </w:tc>
      </w:tr>
      <w:tr w:rsidR="00BC547D" w:rsidRPr="00BC547D" w14:paraId="61476A20" w14:textId="77777777" w:rsidTr="00307FB0">
        <w:trPr>
          <w:trHeight w:val="297"/>
          <w:jc w:val="center"/>
        </w:trPr>
        <w:tc>
          <w:tcPr>
            <w:tcW w:w="3016" w:type="dxa"/>
            <w:tcBorders>
              <w:top w:val="nil"/>
              <w:left w:val="single" w:sz="4" w:space="0" w:color="auto"/>
              <w:bottom w:val="single" w:sz="4" w:space="0" w:color="auto"/>
              <w:right w:val="single" w:sz="4" w:space="0" w:color="auto"/>
            </w:tcBorders>
            <w:shd w:val="clear" w:color="000000" w:fill="FFFFFF"/>
            <w:vAlign w:val="center"/>
            <w:hideMark/>
          </w:tcPr>
          <w:p w14:paraId="5CDD5AB4" w14:textId="77777777" w:rsidR="00307FB0" w:rsidRPr="00A5621C" w:rsidRDefault="00307FB0" w:rsidP="00307FB0">
            <w:pPr>
              <w:spacing w:after="0" w:line="240" w:lineRule="auto"/>
              <w:rPr>
                <w:rFonts w:ascii="Nunito" w:eastAsia="Times New Roman" w:hAnsi="Nunito" w:cs="Calibri"/>
                <w:color w:val="000000"/>
                <w:kern w:val="0"/>
                <w:sz w:val="18"/>
                <w:szCs w:val="18"/>
                <w:lang w:val="es-CO" w:eastAsia="es-CO"/>
                <w14:ligatures w14:val="none"/>
              </w:rPr>
            </w:pPr>
            <w:r w:rsidRPr="00A5621C">
              <w:rPr>
                <w:rFonts w:ascii="Nunito" w:eastAsia="Times New Roman" w:hAnsi="Nunito" w:cs="Calibri"/>
                <w:color w:val="000000"/>
                <w:kern w:val="0"/>
                <w:sz w:val="18"/>
                <w:szCs w:val="18"/>
                <w:lang w:eastAsia="es-CO"/>
                <w14:ligatures w14:val="none"/>
              </w:rPr>
              <w:t>Costos de manejo predial</w:t>
            </w:r>
          </w:p>
        </w:tc>
        <w:tc>
          <w:tcPr>
            <w:tcW w:w="5788" w:type="dxa"/>
            <w:tcBorders>
              <w:top w:val="nil"/>
              <w:left w:val="nil"/>
              <w:bottom w:val="single" w:sz="4" w:space="0" w:color="auto"/>
              <w:right w:val="single" w:sz="4" w:space="0" w:color="auto"/>
            </w:tcBorders>
            <w:shd w:val="clear" w:color="auto" w:fill="auto"/>
            <w:vAlign w:val="center"/>
            <w:hideMark/>
          </w:tcPr>
          <w:p w14:paraId="32EDA107" w14:textId="77777777" w:rsidR="00307FB0" w:rsidRPr="00A5621C" w:rsidRDefault="00307FB0" w:rsidP="00307FB0">
            <w:pPr>
              <w:spacing w:after="0" w:line="240" w:lineRule="auto"/>
              <w:rPr>
                <w:rFonts w:ascii="Aptos" w:eastAsia="Times New Roman" w:hAnsi="Aptos" w:cs="Calibri"/>
                <w:color w:val="000000"/>
                <w:kern w:val="0"/>
                <w:sz w:val="18"/>
                <w:szCs w:val="18"/>
                <w:lang w:val="es-CO" w:eastAsia="es-CO"/>
                <w14:ligatures w14:val="none"/>
              </w:rPr>
            </w:pPr>
            <w:r w:rsidRPr="00A5621C">
              <w:rPr>
                <w:rFonts w:ascii="Aptos" w:eastAsia="Times New Roman" w:hAnsi="Aptos" w:cs="Calibri"/>
                <w:color w:val="000000"/>
                <w:kern w:val="0"/>
                <w:sz w:val="18"/>
                <w:szCs w:val="18"/>
                <w:lang w:val="es-CO" w:eastAsia="es-CO"/>
                <w14:ligatures w14:val="none"/>
              </w:rPr>
              <w:t> </w:t>
            </w:r>
          </w:p>
        </w:tc>
      </w:tr>
      <w:tr w:rsidR="00BC547D" w:rsidRPr="00BC547D" w14:paraId="2CD0EEC4" w14:textId="77777777" w:rsidTr="00307FB0">
        <w:trPr>
          <w:trHeight w:val="594"/>
          <w:jc w:val="center"/>
        </w:trPr>
        <w:tc>
          <w:tcPr>
            <w:tcW w:w="3016" w:type="dxa"/>
            <w:tcBorders>
              <w:top w:val="nil"/>
              <w:left w:val="single" w:sz="4" w:space="0" w:color="auto"/>
              <w:bottom w:val="single" w:sz="4" w:space="0" w:color="auto"/>
              <w:right w:val="single" w:sz="4" w:space="0" w:color="auto"/>
            </w:tcBorders>
            <w:shd w:val="clear" w:color="000000" w:fill="FFFFFF"/>
            <w:vAlign w:val="center"/>
            <w:hideMark/>
          </w:tcPr>
          <w:p w14:paraId="0BBF2CA3" w14:textId="77777777" w:rsidR="00307FB0" w:rsidRPr="00A5621C" w:rsidRDefault="00307FB0" w:rsidP="00307FB0">
            <w:pPr>
              <w:spacing w:after="0" w:line="240" w:lineRule="auto"/>
              <w:rPr>
                <w:rFonts w:ascii="Nunito" w:eastAsia="Times New Roman" w:hAnsi="Nunito" w:cs="Calibri"/>
                <w:color w:val="000000"/>
                <w:kern w:val="0"/>
                <w:sz w:val="18"/>
                <w:szCs w:val="18"/>
                <w:lang w:val="es-CO" w:eastAsia="es-CO"/>
                <w14:ligatures w14:val="none"/>
              </w:rPr>
            </w:pPr>
            <w:r w:rsidRPr="00A5621C">
              <w:rPr>
                <w:rFonts w:ascii="Nunito" w:eastAsia="Times New Roman" w:hAnsi="Nunito" w:cs="Calibri"/>
                <w:color w:val="000000"/>
                <w:kern w:val="0"/>
                <w:sz w:val="18"/>
                <w:szCs w:val="18"/>
                <w:lang w:eastAsia="es-CO"/>
                <w14:ligatures w14:val="none"/>
              </w:rPr>
              <w:t>Pérdida de la capacidad de almacenamiento de carbono</w:t>
            </w:r>
          </w:p>
        </w:tc>
        <w:tc>
          <w:tcPr>
            <w:tcW w:w="5788" w:type="dxa"/>
            <w:tcBorders>
              <w:top w:val="nil"/>
              <w:left w:val="nil"/>
              <w:bottom w:val="single" w:sz="4" w:space="0" w:color="auto"/>
              <w:right w:val="single" w:sz="4" w:space="0" w:color="auto"/>
            </w:tcBorders>
            <w:shd w:val="clear" w:color="auto" w:fill="auto"/>
            <w:vAlign w:val="center"/>
            <w:hideMark/>
          </w:tcPr>
          <w:p w14:paraId="402028FB" w14:textId="77777777" w:rsidR="00307FB0" w:rsidRPr="00A5621C" w:rsidRDefault="00307FB0" w:rsidP="00307FB0">
            <w:pPr>
              <w:spacing w:after="0" w:line="240" w:lineRule="auto"/>
              <w:rPr>
                <w:rFonts w:ascii="Aptos" w:eastAsia="Times New Roman" w:hAnsi="Aptos" w:cs="Calibri"/>
                <w:color w:val="000000"/>
                <w:kern w:val="0"/>
                <w:sz w:val="18"/>
                <w:szCs w:val="18"/>
                <w:lang w:val="es-CO" w:eastAsia="es-CO"/>
                <w14:ligatures w14:val="none"/>
              </w:rPr>
            </w:pPr>
            <w:r w:rsidRPr="00A5621C">
              <w:rPr>
                <w:rFonts w:ascii="Aptos" w:eastAsia="Times New Roman" w:hAnsi="Aptos" w:cs="Calibri"/>
                <w:color w:val="000000"/>
                <w:kern w:val="0"/>
                <w:sz w:val="18"/>
                <w:szCs w:val="18"/>
                <w:lang w:val="es-CO" w:eastAsia="es-CO"/>
                <w14:ligatures w14:val="none"/>
              </w:rPr>
              <w:t> </w:t>
            </w:r>
          </w:p>
        </w:tc>
      </w:tr>
    </w:tbl>
    <w:p w14:paraId="127C0516" w14:textId="77777777" w:rsidR="00307FB0" w:rsidRPr="00A5621C" w:rsidRDefault="00307FB0" w:rsidP="00307FB0">
      <w:pPr>
        <w:spacing w:after="0"/>
        <w:jc w:val="center"/>
        <w:rPr>
          <w:rFonts w:ascii="Nunito" w:hAnsi="Nunito" w:cs="Segoe UI"/>
          <w:sz w:val="18"/>
          <w:szCs w:val="18"/>
          <w:lang w:eastAsia="es-ES"/>
        </w:rPr>
      </w:pPr>
      <w:r w:rsidRPr="00A5621C">
        <w:rPr>
          <w:rFonts w:ascii="Nunito" w:hAnsi="Nunito" w:cs="Segoe UI"/>
          <w:sz w:val="18"/>
          <w:szCs w:val="18"/>
          <w:lang w:eastAsia="es-ES"/>
        </w:rPr>
        <w:t xml:space="preserve">Fuente: UPME 2024. Adaptado </w:t>
      </w:r>
      <w:r w:rsidRPr="00A5621C">
        <w:rPr>
          <w:rFonts w:ascii="Nunito" w:hAnsi="Nunito" w:cs="Segoe UI"/>
          <w:sz w:val="18"/>
          <w:szCs w:val="18"/>
        </w:rPr>
        <w:t xml:space="preserve">Contrato C-132-2022, desarrollado por ECOSIMPLE S.A.S. </w:t>
      </w:r>
    </w:p>
    <w:p w14:paraId="53F47840" w14:textId="77777777" w:rsidR="00307FB0" w:rsidRPr="00A5621C" w:rsidRDefault="00307FB0" w:rsidP="00A5621C">
      <w:pPr>
        <w:spacing w:after="0"/>
        <w:jc w:val="both"/>
        <w:rPr>
          <w:rFonts w:ascii="Nunito" w:hAnsi="Nunito" w:cs="Segoe UI"/>
          <w:sz w:val="22"/>
          <w:szCs w:val="22"/>
          <w:lang w:eastAsia="es-ES"/>
        </w:rPr>
      </w:pPr>
    </w:p>
    <w:p w14:paraId="6222E7E3" w14:textId="77777777" w:rsidR="002431CC" w:rsidRPr="00A5621C" w:rsidRDefault="002431CC" w:rsidP="00A5621C">
      <w:pPr>
        <w:spacing w:after="0"/>
        <w:jc w:val="both"/>
        <w:rPr>
          <w:rFonts w:ascii="Nunito" w:hAnsi="Nunito"/>
          <w:sz w:val="22"/>
          <w:szCs w:val="22"/>
        </w:rPr>
      </w:pPr>
      <w:r w:rsidRPr="00A5621C">
        <w:rPr>
          <w:rFonts w:ascii="Nunito" w:hAnsi="Nunito"/>
          <w:sz w:val="22"/>
          <w:szCs w:val="22"/>
        </w:rPr>
        <w:t>El resultado de este ejercicio resulta en un cambio apreciable del indicador comparado con la relación beneficio/costo neto realizada, pero el resultado es el mismo ya que las tres alternativas resultan viables al tener un valor superior a uno</w:t>
      </w:r>
      <w:r w:rsidRPr="00A5621C">
        <w:rPr>
          <w:rFonts w:ascii="Nunito" w:hAnsi="Nunito"/>
          <w:sz w:val="22"/>
          <w:szCs w:val="22"/>
          <w:vertAlign w:val="superscript"/>
        </w:rPr>
        <w:footnoteReference w:id="21"/>
      </w:r>
      <w:r w:rsidRPr="00A5621C">
        <w:rPr>
          <w:rFonts w:ascii="Nunito" w:hAnsi="Nunito"/>
          <w:sz w:val="22"/>
          <w:szCs w:val="22"/>
        </w:rPr>
        <w:t>. Con una tasa de descuento del 9%, como muestra la Tabla 5, las tres alternativas generan una mayor cantidad de beneficios socioambientales por cada unidad monetaria invertida en el proyecto, por lo cual en términos socioambientales se considera viable.</w:t>
      </w:r>
    </w:p>
    <w:p w14:paraId="7026DC7C" w14:textId="77777777" w:rsidR="002431CC" w:rsidRPr="00A5621C" w:rsidRDefault="002431CC" w:rsidP="00A5621C">
      <w:pPr>
        <w:spacing w:after="0"/>
        <w:jc w:val="both"/>
        <w:rPr>
          <w:rFonts w:ascii="Nunito" w:hAnsi="Nunito" w:cs="Segoe UI"/>
          <w:sz w:val="22"/>
          <w:szCs w:val="22"/>
          <w:lang w:eastAsia="es-ES"/>
        </w:rPr>
      </w:pPr>
    </w:p>
    <w:p w14:paraId="33D40DC6" w14:textId="4F01B4B0" w:rsidR="002431CC" w:rsidRPr="00A5621C" w:rsidRDefault="002431CC" w:rsidP="00A5621C">
      <w:pPr>
        <w:spacing w:after="0"/>
        <w:jc w:val="center"/>
        <w:rPr>
          <w:rFonts w:ascii="Nunito" w:hAnsi="Nunito" w:cs="Segoe UI"/>
          <w:sz w:val="18"/>
          <w:szCs w:val="18"/>
          <w:lang w:eastAsia="es-ES"/>
        </w:rPr>
      </w:pPr>
      <w:r w:rsidRPr="00A5621C">
        <w:rPr>
          <w:rFonts w:ascii="Nunito" w:hAnsi="Nunito" w:cs="Segoe UI"/>
          <w:b/>
          <w:bCs/>
          <w:sz w:val="22"/>
          <w:szCs w:val="22"/>
          <w:lang w:eastAsia="es-ES"/>
        </w:rPr>
        <w:t>Tabla 4. Relación beneficio/costo socioambiental</w:t>
      </w:r>
    </w:p>
    <w:tbl>
      <w:tblPr>
        <w:tblW w:w="4300" w:type="dxa"/>
        <w:jc w:val="center"/>
        <w:tblCellMar>
          <w:left w:w="70" w:type="dxa"/>
          <w:right w:w="70" w:type="dxa"/>
        </w:tblCellMar>
        <w:tblLook w:val="04A0" w:firstRow="1" w:lastRow="0" w:firstColumn="1" w:lastColumn="0" w:noHBand="0" w:noVBand="1"/>
      </w:tblPr>
      <w:tblGrid>
        <w:gridCol w:w="1520"/>
        <w:gridCol w:w="2780"/>
      </w:tblGrid>
      <w:tr w:rsidR="00BC547D" w:rsidRPr="00BC547D" w14:paraId="3AD967EE" w14:textId="77777777" w:rsidTr="00A5621C">
        <w:trPr>
          <w:trHeight w:val="465"/>
          <w:jc w:val="center"/>
        </w:trPr>
        <w:tc>
          <w:tcPr>
            <w:tcW w:w="1520" w:type="dxa"/>
            <w:tcBorders>
              <w:top w:val="nil"/>
              <w:left w:val="nil"/>
              <w:bottom w:val="nil"/>
              <w:right w:val="nil"/>
            </w:tcBorders>
            <w:shd w:val="clear" w:color="auto" w:fill="auto"/>
            <w:noWrap/>
            <w:vAlign w:val="bottom"/>
            <w:hideMark/>
          </w:tcPr>
          <w:p w14:paraId="3C36A777" w14:textId="77777777" w:rsidR="00BC547D" w:rsidRPr="00BC547D" w:rsidRDefault="00BC547D" w:rsidP="00BC547D">
            <w:pPr>
              <w:spacing w:after="0" w:line="240" w:lineRule="auto"/>
              <w:rPr>
                <w:rFonts w:ascii="Times New Roman" w:eastAsia="Times New Roman" w:hAnsi="Times New Roman" w:cs="Times New Roman"/>
                <w:kern w:val="0"/>
                <w:sz w:val="20"/>
                <w:szCs w:val="20"/>
                <w:lang w:val="es-CO" w:eastAsia="es-CO"/>
                <w14:ligatures w14:val="none"/>
              </w:rPr>
            </w:pPr>
          </w:p>
        </w:tc>
        <w:tc>
          <w:tcPr>
            <w:tcW w:w="2780" w:type="dxa"/>
            <w:tcBorders>
              <w:top w:val="single" w:sz="4" w:space="0" w:color="auto"/>
              <w:left w:val="single" w:sz="4" w:space="0" w:color="auto"/>
              <w:bottom w:val="single" w:sz="4" w:space="0" w:color="auto"/>
              <w:right w:val="single" w:sz="4" w:space="0" w:color="auto"/>
            </w:tcBorders>
            <w:shd w:val="clear" w:color="000000" w:fill="E2EFDA"/>
            <w:noWrap/>
            <w:vAlign w:val="center"/>
            <w:hideMark/>
          </w:tcPr>
          <w:p w14:paraId="17C34FCF" w14:textId="77777777" w:rsidR="00BC547D" w:rsidRPr="00BC547D" w:rsidRDefault="00BC547D" w:rsidP="00BC547D">
            <w:pPr>
              <w:spacing w:after="0" w:line="240" w:lineRule="auto"/>
              <w:jc w:val="center"/>
              <w:rPr>
                <w:rFonts w:ascii="Calibri" w:eastAsia="Times New Roman" w:hAnsi="Calibri" w:cs="Calibri"/>
                <w:b/>
                <w:bCs/>
                <w:color w:val="000000"/>
                <w:kern w:val="0"/>
                <w:sz w:val="22"/>
                <w:szCs w:val="22"/>
                <w:lang w:val="es-CO" w:eastAsia="es-CO"/>
                <w14:ligatures w14:val="none"/>
              </w:rPr>
            </w:pPr>
            <w:r w:rsidRPr="00BC547D">
              <w:rPr>
                <w:rFonts w:ascii="Calibri" w:eastAsia="Times New Roman" w:hAnsi="Calibri" w:cs="Calibri"/>
                <w:b/>
                <w:bCs/>
                <w:color w:val="000000"/>
                <w:kern w:val="0"/>
                <w:sz w:val="22"/>
                <w:szCs w:val="22"/>
                <w:lang w:val="es-CO" w:eastAsia="es-CO"/>
                <w14:ligatures w14:val="none"/>
              </w:rPr>
              <w:t>Relación beneficio/costo</w:t>
            </w:r>
          </w:p>
        </w:tc>
      </w:tr>
      <w:tr w:rsidR="00BC547D" w:rsidRPr="00BC547D" w14:paraId="0F3AD3D8" w14:textId="77777777" w:rsidTr="00A5621C">
        <w:trPr>
          <w:trHeight w:val="300"/>
          <w:jc w:val="center"/>
        </w:trPr>
        <w:tc>
          <w:tcPr>
            <w:tcW w:w="152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174E3FC" w14:textId="77777777" w:rsidR="00BC547D" w:rsidRPr="00BC547D" w:rsidRDefault="00BC547D" w:rsidP="00BC547D">
            <w:pPr>
              <w:spacing w:after="0" w:line="240" w:lineRule="auto"/>
              <w:rPr>
                <w:rFonts w:ascii="Calibri" w:eastAsia="Times New Roman" w:hAnsi="Calibri" w:cs="Calibri"/>
                <w:color w:val="000000"/>
                <w:kern w:val="0"/>
                <w:sz w:val="22"/>
                <w:szCs w:val="22"/>
                <w:lang w:val="es-CO" w:eastAsia="es-CO"/>
                <w14:ligatures w14:val="none"/>
              </w:rPr>
            </w:pPr>
            <w:r w:rsidRPr="00BC547D">
              <w:rPr>
                <w:rFonts w:ascii="Calibri" w:eastAsia="Times New Roman" w:hAnsi="Calibri" w:cs="Calibri"/>
                <w:color w:val="000000"/>
                <w:kern w:val="0"/>
                <w:sz w:val="22"/>
                <w:szCs w:val="22"/>
                <w:lang w:val="es-CO" w:eastAsia="es-CO"/>
                <w14:ligatures w14:val="none"/>
              </w:rPr>
              <w:t>Alternativa 1</w:t>
            </w:r>
          </w:p>
        </w:tc>
        <w:tc>
          <w:tcPr>
            <w:tcW w:w="2780" w:type="dxa"/>
            <w:tcBorders>
              <w:top w:val="nil"/>
              <w:left w:val="nil"/>
              <w:bottom w:val="single" w:sz="4" w:space="0" w:color="auto"/>
              <w:right w:val="single" w:sz="4" w:space="0" w:color="auto"/>
            </w:tcBorders>
            <w:shd w:val="clear" w:color="auto" w:fill="auto"/>
            <w:noWrap/>
            <w:vAlign w:val="center"/>
            <w:hideMark/>
          </w:tcPr>
          <w:p w14:paraId="3C5B222C" w14:textId="77777777" w:rsidR="00BC547D" w:rsidRPr="00BC547D" w:rsidRDefault="00BC547D" w:rsidP="00A5621C">
            <w:pPr>
              <w:spacing w:after="0" w:line="240" w:lineRule="auto"/>
              <w:jc w:val="center"/>
              <w:rPr>
                <w:rFonts w:ascii="Calibri" w:eastAsia="Times New Roman" w:hAnsi="Calibri" w:cs="Calibri"/>
                <w:color w:val="000000"/>
                <w:kern w:val="0"/>
                <w:sz w:val="22"/>
                <w:szCs w:val="22"/>
                <w:lang w:val="es-CO" w:eastAsia="es-CO"/>
                <w14:ligatures w14:val="none"/>
              </w:rPr>
            </w:pPr>
            <w:r w:rsidRPr="00BC547D">
              <w:rPr>
                <w:rFonts w:ascii="Calibri" w:eastAsia="Times New Roman" w:hAnsi="Calibri" w:cs="Calibri"/>
                <w:color w:val="000000"/>
                <w:kern w:val="0"/>
                <w:sz w:val="22"/>
                <w:szCs w:val="22"/>
                <w:lang w:val="es-CO" w:eastAsia="es-CO"/>
                <w14:ligatures w14:val="none"/>
              </w:rPr>
              <w:t>2,84</w:t>
            </w:r>
          </w:p>
        </w:tc>
      </w:tr>
      <w:tr w:rsidR="00BC547D" w:rsidRPr="00BC547D" w14:paraId="555E946B" w14:textId="77777777" w:rsidTr="00A5621C">
        <w:trPr>
          <w:trHeight w:val="300"/>
          <w:jc w:val="center"/>
        </w:trPr>
        <w:tc>
          <w:tcPr>
            <w:tcW w:w="1520" w:type="dxa"/>
            <w:tcBorders>
              <w:top w:val="nil"/>
              <w:left w:val="single" w:sz="4" w:space="0" w:color="auto"/>
              <w:bottom w:val="single" w:sz="4" w:space="0" w:color="auto"/>
              <w:right w:val="single" w:sz="4" w:space="0" w:color="auto"/>
            </w:tcBorders>
            <w:shd w:val="clear" w:color="auto" w:fill="auto"/>
            <w:noWrap/>
            <w:vAlign w:val="bottom"/>
            <w:hideMark/>
          </w:tcPr>
          <w:p w14:paraId="5EDDC17C" w14:textId="77777777" w:rsidR="00BC547D" w:rsidRPr="00BC547D" w:rsidRDefault="00BC547D" w:rsidP="00BC547D">
            <w:pPr>
              <w:spacing w:after="0" w:line="240" w:lineRule="auto"/>
              <w:rPr>
                <w:rFonts w:ascii="Calibri" w:eastAsia="Times New Roman" w:hAnsi="Calibri" w:cs="Calibri"/>
                <w:color w:val="000000"/>
                <w:kern w:val="0"/>
                <w:sz w:val="22"/>
                <w:szCs w:val="22"/>
                <w:lang w:val="es-CO" w:eastAsia="es-CO"/>
                <w14:ligatures w14:val="none"/>
              </w:rPr>
            </w:pPr>
            <w:r w:rsidRPr="00BC547D">
              <w:rPr>
                <w:rFonts w:ascii="Calibri" w:eastAsia="Times New Roman" w:hAnsi="Calibri" w:cs="Calibri"/>
                <w:color w:val="000000"/>
                <w:kern w:val="0"/>
                <w:sz w:val="22"/>
                <w:szCs w:val="22"/>
                <w:lang w:val="es-CO" w:eastAsia="es-CO"/>
                <w14:ligatures w14:val="none"/>
              </w:rPr>
              <w:t>Alternativa 2</w:t>
            </w:r>
          </w:p>
        </w:tc>
        <w:tc>
          <w:tcPr>
            <w:tcW w:w="2780" w:type="dxa"/>
            <w:tcBorders>
              <w:top w:val="nil"/>
              <w:left w:val="nil"/>
              <w:bottom w:val="single" w:sz="4" w:space="0" w:color="auto"/>
              <w:right w:val="single" w:sz="4" w:space="0" w:color="auto"/>
            </w:tcBorders>
            <w:shd w:val="clear" w:color="auto" w:fill="auto"/>
            <w:noWrap/>
            <w:vAlign w:val="center"/>
            <w:hideMark/>
          </w:tcPr>
          <w:p w14:paraId="7C549ED7" w14:textId="77777777" w:rsidR="00BC547D" w:rsidRPr="00BC547D" w:rsidRDefault="00BC547D" w:rsidP="00A5621C">
            <w:pPr>
              <w:spacing w:after="0" w:line="240" w:lineRule="auto"/>
              <w:jc w:val="center"/>
              <w:rPr>
                <w:rFonts w:ascii="Calibri" w:eastAsia="Times New Roman" w:hAnsi="Calibri" w:cs="Calibri"/>
                <w:color w:val="000000"/>
                <w:kern w:val="0"/>
                <w:sz w:val="22"/>
                <w:szCs w:val="22"/>
                <w:lang w:val="es-CO" w:eastAsia="es-CO"/>
                <w14:ligatures w14:val="none"/>
              </w:rPr>
            </w:pPr>
            <w:r w:rsidRPr="00BC547D">
              <w:rPr>
                <w:rFonts w:ascii="Calibri" w:eastAsia="Times New Roman" w:hAnsi="Calibri" w:cs="Calibri"/>
                <w:color w:val="000000"/>
                <w:kern w:val="0"/>
                <w:sz w:val="22"/>
                <w:szCs w:val="22"/>
                <w:lang w:val="es-CO" w:eastAsia="es-CO"/>
                <w14:ligatures w14:val="none"/>
              </w:rPr>
              <w:t>2,77</w:t>
            </w:r>
          </w:p>
        </w:tc>
      </w:tr>
      <w:tr w:rsidR="00BC547D" w:rsidRPr="00BC547D" w14:paraId="56BE1A44" w14:textId="77777777" w:rsidTr="00A5621C">
        <w:trPr>
          <w:trHeight w:val="300"/>
          <w:jc w:val="center"/>
        </w:trPr>
        <w:tc>
          <w:tcPr>
            <w:tcW w:w="1520" w:type="dxa"/>
            <w:tcBorders>
              <w:top w:val="nil"/>
              <w:left w:val="single" w:sz="4" w:space="0" w:color="auto"/>
              <w:bottom w:val="single" w:sz="4" w:space="0" w:color="auto"/>
              <w:right w:val="single" w:sz="4" w:space="0" w:color="auto"/>
            </w:tcBorders>
            <w:shd w:val="clear" w:color="auto" w:fill="auto"/>
            <w:noWrap/>
            <w:vAlign w:val="bottom"/>
            <w:hideMark/>
          </w:tcPr>
          <w:p w14:paraId="28709F85" w14:textId="77777777" w:rsidR="00BC547D" w:rsidRPr="00BC547D" w:rsidRDefault="00BC547D" w:rsidP="00BC547D">
            <w:pPr>
              <w:spacing w:after="0" w:line="240" w:lineRule="auto"/>
              <w:rPr>
                <w:rFonts w:ascii="Calibri" w:eastAsia="Times New Roman" w:hAnsi="Calibri" w:cs="Calibri"/>
                <w:color w:val="000000"/>
                <w:kern w:val="0"/>
                <w:sz w:val="22"/>
                <w:szCs w:val="22"/>
                <w:lang w:val="es-CO" w:eastAsia="es-CO"/>
                <w14:ligatures w14:val="none"/>
              </w:rPr>
            </w:pPr>
            <w:r w:rsidRPr="00BC547D">
              <w:rPr>
                <w:rFonts w:ascii="Calibri" w:eastAsia="Times New Roman" w:hAnsi="Calibri" w:cs="Calibri"/>
                <w:color w:val="000000"/>
                <w:kern w:val="0"/>
                <w:sz w:val="22"/>
                <w:szCs w:val="22"/>
                <w:lang w:val="es-CO" w:eastAsia="es-CO"/>
                <w14:ligatures w14:val="none"/>
              </w:rPr>
              <w:t>Alternativa 3</w:t>
            </w:r>
          </w:p>
        </w:tc>
        <w:tc>
          <w:tcPr>
            <w:tcW w:w="2780" w:type="dxa"/>
            <w:tcBorders>
              <w:top w:val="nil"/>
              <w:left w:val="nil"/>
              <w:bottom w:val="single" w:sz="4" w:space="0" w:color="auto"/>
              <w:right w:val="single" w:sz="4" w:space="0" w:color="auto"/>
            </w:tcBorders>
            <w:shd w:val="clear" w:color="auto" w:fill="auto"/>
            <w:noWrap/>
            <w:vAlign w:val="center"/>
            <w:hideMark/>
          </w:tcPr>
          <w:p w14:paraId="03A47235" w14:textId="77777777" w:rsidR="00BC547D" w:rsidRPr="00BC547D" w:rsidRDefault="00BC547D" w:rsidP="00A5621C">
            <w:pPr>
              <w:spacing w:after="0" w:line="240" w:lineRule="auto"/>
              <w:jc w:val="center"/>
              <w:rPr>
                <w:rFonts w:ascii="Calibri" w:eastAsia="Times New Roman" w:hAnsi="Calibri" w:cs="Calibri"/>
                <w:color w:val="000000"/>
                <w:kern w:val="0"/>
                <w:sz w:val="22"/>
                <w:szCs w:val="22"/>
                <w:lang w:val="es-CO" w:eastAsia="es-CO"/>
                <w14:ligatures w14:val="none"/>
              </w:rPr>
            </w:pPr>
            <w:r w:rsidRPr="00BC547D">
              <w:rPr>
                <w:rFonts w:ascii="Calibri" w:eastAsia="Times New Roman" w:hAnsi="Calibri" w:cs="Calibri"/>
                <w:color w:val="000000"/>
                <w:kern w:val="0"/>
                <w:sz w:val="22"/>
                <w:szCs w:val="22"/>
                <w:lang w:val="es-CO" w:eastAsia="es-CO"/>
                <w14:ligatures w14:val="none"/>
              </w:rPr>
              <w:t>2,82</w:t>
            </w:r>
          </w:p>
        </w:tc>
      </w:tr>
    </w:tbl>
    <w:p w14:paraId="69213B9F" w14:textId="47EC2100" w:rsidR="002431CC" w:rsidRDefault="00BC547D" w:rsidP="008F6D38">
      <w:pPr>
        <w:spacing w:after="0"/>
        <w:jc w:val="center"/>
        <w:rPr>
          <w:rFonts w:ascii="Nunito" w:hAnsi="Nunito" w:cs="Segoe UI"/>
          <w:sz w:val="18"/>
          <w:szCs w:val="18"/>
          <w:lang w:eastAsia="es-ES"/>
        </w:rPr>
      </w:pPr>
      <w:r w:rsidRPr="0038757F">
        <w:rPr>
          <w:rFonts w:ascii="Nunito" w:hAnsi="Nunito" w:cs="Segoe UI"/>
          <w:sz w:val="18"/>
          <w:szCs w:val="18"/>
          <w:lang w:eastAsia="es-ES"/>
        </w:rPr>
        <w:t>Fuente: UPME 2024</w:t>
      </w:r>
    </w:p>
    <w:p w14:paraId="72BFB0E2" w14:textId="77777777" w:rsidR="00BC547D" w:rsidRPr="00A5621C" w:rsidRDefault="00BC547D" w:rsidP="00A5621C">
      <w:pPr>
        <w:spacing w:after="0"/>
        <w:jc w:val="center"/>
        <w:rPr>
          <w:rFonts w:ascii="Nunito" w:hAnsi="Nunito" w:cs="Segoe UI"/>
          <w:sz w:val="22"/>
          <w:szCs w:val="22"/>
          <w:lang w:eastAsia="es-ES"/>
        </w:rPr>
      </w:pPr>
    </w:p>
    <w:p w14:paraId="3AF922AC" w14:textId="77777777" w:rsidR="002431CC" w:rsidRPr="00A5621C" w:rsidRDefault="002431CC" w:rsidP="00A5621C">
      <w:pPr>
        <w:pStyle w:val="ListParagraph"/>
        <w:numPr>
          <w:ilvl w:val="2"/>
          <w:numId w:val="20"/>
        </w:numPr>
        <w:spacing w:after="0"/>
        <w:rPr>
          <w:rFonts w:ascii="Nunito" w:eastAsiaTheme="majorEastAsia" w:hAnsi="Nunito" w:cstheme="majorBidi"/>
          <w:b/>
          <w:bCs/>
          <w:color w:val="94C700"/>
          <w:sz w:val="28"/>
          <w:szCs w:val="28"/>
        </w:rPr>
      </w:pPr>
      <w:r w:rsidRPr="00A5621C">
        <w:rPr>
          <w:rFonts w:ascii="Nunito" w:eastAsiaTheme="majorEastAsia" w:hAnsi="Nunito" w:cstheme="majorBidi"/>
          <w:b/>
          <w:bCs/>
          <w:color w:val="94C700"/>
          <w:sz w:val="28"/>
          <w:szCs w:val="28"/>
        </w:rPr>
        <w:t xml:space="preserve">Análisis socioambiental </w:t>
      </w:r>
    </w:p>
    <w:p w14:paraId="02B3E725" w14:textId="77777777" w:rsidR="002431CC" w:rsidRPr="00A5621C" w:rsidRDefault="002431CC" w:rsidP="00A5621C">
      <w:pPr>
        <w:spacing w:after="0"/>
        <w:rPr>
          <w:rFonts w:ascii="Nunito" w:hAnsi="Nunito"/>
          <w:sz w:val="22"/>
          <w:szCs w:val="22"/>
          <w:lang w:val="es-CO" w:eastAsia="es-ES"/>
        </w:rPr>
      </w:pPr>
    </w:p>
    <w:p w14:paraId="4AB734EE" w14:textId="77777777" w:rsidR="002431CC" w:rsidRPr="00A5621C" w:rsidRDefault="002431CC" w:rsidP="00A5621C">
      <w:pPr>
        <w:spacing w:after="0"/>
        <w:jc w:val="both"/>
        <w:rPr>
          <w:rFonts w:ascii="Nunito" w:hAnsi="Nunito"/>
          <w:sz w:val="22"/>
          <w:szCs w:val="22"/>
        </w:rPr>
      </w:pPr>
      <w:r w:rsidRPr="00A5621C">
        <w:rPr>
          <w:rFonts w:ascii="Nunito" w:hAnsi="Nunito"/>
          <w:sz w:val="22"/>
          <w:szCs w:val="22"/>
        </w:rPr>
        <w:t>En la búsqueda de obtener información más precisa sobre los diferentes aspectos socioambientales que se pueden encontrar en el área de estudio donde se puede llegar a construir el proyecto poliducto Yumbo – Pasto; la UPME como se mencionó previamente, adelantó y/o contrato diferentes estudios desde el año 2019 para adelantar una identificación de aspectos relevantes con relación a los condicionantes o las restricciones evidenciadas. A continuación, se describen los aspectos más representativos:</w:t>
      </w:r>
    </w:p>
    <w:p w14:paraId="71767B08" w14:textId="77777777" w:rsidR="002431CC" w:rsidRPr="00A5621C" w:rsidRDefault="002431CC" w:rsidP="00A5621C">
      <w:pPr>
        <w:spacing w:after="0"/>
        <w:jc w:val="both"/>
        <w:rPr>
          <w:rFonts w:ascii="Nunito" w:hAnsi="Nunito"/>
          <w:sz w:val="22"/>
          <w:szCs w:val="22"/>
        </w:rPr>
      </w:pPr>
    </w:p>
    <w:p w14:paraId="695ADA50" w14:textId="3D5B4A76" w:rsidR="002431CC" w:rsidRPr="00A5621C" w:rsidRDefault="002431CC" w:rsidP="00A5621C">
      <w:pPr>
        <w:pStyle w:val="Heading3"/>
        <w:numPr>
          <w:ilvl w:val="0"/>
          <w:numId w:val="21"/>
        </w:numPr>
        <w:spacing w:before="0" w:after="0"/>
        <w:jc w:val="both"/>
        <w:rPr>
          <w:rFonts w:ascii="Nunito" w:hAnsi="Nunito"/>
          <w:b/>
          <w:color w:val="auto"/>
          <w:sz w:val="22"/>
          <w:szCs w:val="22"/>
          <w:lang w:eastAsia="es-ES"/>
        </w:rPr>
      </w:pPr>
      <w:proofErr w:type="spellStart"/>
      <w:r w:rsidRPr="00A5621C">
        <w:rPr>
          <w:rFonts w:ascii="Nunito" w:hAnsi="Nunito"/>
          <w:b/>
          <w:color w:val="auto"/>
          <w:sz w:val="22"/>
          <w:szCs w:val="22"/>
          <w:lang w:eastAsia="es-ES"/>
        </w:rPr>
        <w:t>Delvasto</w:t>
      </w:r>
      <w:proofErr w:type="spellEnd"/>
      <w:r w:rsidRPr="00A5621C">
        <w:rPr>
          <w:rFonts w:ascii="Nunito" w:hAnsi="Nunito"/>
          <w:b/>
          <w:color w:val="auto"/>
          <w:sz w:val="22"/>
          <w:szCs w:val="22"/>
          <w:lang w:eastAsia="es-ES"/>
        </w:rPr>
        <w:t xml:space="preserve"> &amp; Echeverria Asociados, 2019</w:t>
      </w:r>
    </w:p>
    <w:p w14:paraId="5D762B5E" w14:textId="77777777" w:rsidR="002431CC" w:rsidRPr="00A5621C" w:rsidRDefault="002431CC" w:rsidP="00A5621C">
      <w:pPr>
        <w:pStyle w:val="ListParagraph"/>
        <w:spacing w:after="0"/>
        <w:rPr>
          <w:rFonts w:ascii="Nunito" w:hAnsi="Nunito"/>
          <w:sz w:val="22"/>
          <w:szCs w:val="22"/>
        </w:rPr>
      </w:pPr>
    </w:p>
    <w:p w14:paraId="196A9C1A" w14:textId="77777777" w:rsidR="002431CC" w:rsidRPr="00A5621C" w:rsidRDefault="002431CC" w:rsidP="00A5621C">
      <w:pPr>
        <w:spacing w:after="0"/>
        <w:jc w:val="both"/>
        <w:rPr>
          <w:rFonts w:ascii="Nunito" w:hAnsi="Nunito"/>
          <w:sz w:val="22"/>
          <w:szCs w:val="22"/>
        </w:rPr>
      </w:pPr>
      <w:r w:rsidRPr="00A5621C">
        <w:rPr>
          <w:rFonts w:ascii="Nunito" w:hAnsi="Nunito"/>
          <w:sz w:val="22"/>
          <w:szCs w:val="22"/>
        </w:rPr>
        <w:t xml:space="preserve">En el año 2019, la UPME contrató a la empresa </w:t>
      </w:r>
      <w:proofErr w:type="spellStart"/>
      <w:r w:rsidRPr="00A5621C">
        <w:rPr>
          <w:rFonts w:ascii="Nunito" w:hAnsi="Nunito"/>
          <w:sz w:val="22"/>
          <w:szCs w:val="22"/>
        </w:rPr>
        <w:t>Delvasto</w:t>
      </w:r>
      <w:proofErr w:type="spellEnd"/>
      <w:r w:rsidRPr="00A5621C">
        <w:rPr>
          <w:rFonts w:ascii="Nunito" w:hAnsi="Nunito"/>
          <w:sz w:val="22"/>
          <w:szCs w:val="22"/>
        </w:rPr>
        <w:t xml:space="preserve"> &amp; Echeverria Asociados, para realizar un “</w:t>
      </w:r>
      <w:r w:rsidRPr="00A5621C">
        <w:rPr>
          <w:rFonts w:ascii="Nunito" w:hAnsi="Nunito"/>
          <w:i/>
          <w:iCs/>
          <w:sz w:val="22"/>
          <w:szCs w:val="22"/>
        </w:rPr>
        <w:t>Diagnóstico de la situación actual de las variables y del sistema de distribución de combustibles para el suroccidente del país (Nariño, Cauca, Putumayo)</w:t>
      </w:r>
      <w:r w:rsidRPr="00A5621C">
        <w:rPr>
          <w:rFonts w:ascii="Nunito" w:hAnsi="Nunito"/>
          <w:sz w:val="22"/>
          <w:szCs w:val="22"/>
        </w:rPr>
        <w:t xml:space="preserve">”. Este documento constó de una ingeniería conceptual, donde se analizaron rutas de entrada de combustibles refinados </w:t>
      </w:r>
      <w:r w:rsidRPr="00A5621C">
        <w:rPr>
          <w:rFonts w:ascii="Nunito" w:hAnsi="Nunito"/>
          <w:sz w:val="22"/>
          <w:szCs w:val="22"/>
        </w:rPr>
        <w:lastRenderedPageBreak/>
        <w:t xml:space="preserve">al mercado del suroccidente colombiano, se determinaron capacidades y localización de las instalaciones para almacenamiento mayorista de combustibles refinados, así como capacidades y localización de las instalaciones para almacenamiento mayorista de combustibles. </w:t>
      </w:r>
    </w:p>
    <w:p w14:paraId="29F35AF4" w14:textId="77777777" w:rsidR="002431CC" w:rsidRPr="00A5621C" w:rsidRDefault="002431CC" w:rsidP="00A5621C">
      <w:pPr>
        <w:spacing w:after="0"/>
        <w:jc w:val="both"/>
        <w:rPr>
          <w:rFonts w:ascii="Nunito" w:hAnsi="Nunito"/>
          <w:sz w:val="22"/>
          <w:szCs w:val="22"/>
        </w:rPr>
      </w:pPr>
    </w:p>
    <w:p w14:paraId="77F4FD62" w14:textId="77777777" w:rsidR="002431CC" w:rsidRPr="00A5621C" w:rsidRDefault="002431CC" w:rsidP="00A5621C">
      <w:pPr>
        <w:spacing w:after="0"/>
        <w:jc w:val="both"/>
        <w:rPr>
          <w:rFonts w:ascii="Nunito" w:hAnsi="Nunito"/>
          <w:sz w:val="22"/>
          <w:szCs w:val="22"/>
        </w:rPr>
      </w:pPr>
      <w:r w:rsidRPr="00A5621C">
        <w:rPr>
          <w:rFonts w:ascii="Nunito" w:hAnsi="Nunito"/>
          <w:sz w:val="22"/>
          <w:szCs w:val="22"/>
        </w:rPr>
        <w:t>Adicionalmente, se realizó un diagnóstico del sistema de distribución regional de los combustibles refinados en el mercado del suroccidente colombiano. Finalmente, se adelantó un cálculo de la demanda proyectada que sería transportado por el Poliducto Yumbo – Pasto, tomando datos consolidados de volúmenes entregados a los mercados de Nariño, Cauca, y Putumayo.</w:t>
      </w:r>
    </w:p>
    <w:p w14:paraId="0CA98207" w14:textId="77777777" w:rsidR="002431CC" w:rsidRPr="00A5621C" w:rsidRDefault="002431CC" w:rsidP="00A5621C">
      <w:pPr>
        <w:spacing w:after="0"/>
        <w:rPr>
          <w:rFonts w:ascii="Nunito" w:hAnsi="Nunito"/>
          <w:sz w:val="22"/>
          <w:szCs w:val="22"/>
        </w:rPr>
      </w:pPr>
    </w:p>
    <w:p w14:paraId="5DEE0FE5" w14:textId="77777777" w:rsidR="002431CC" w:rsidRPr="00A5621C" w:rsidRDefault="002431CC" w:rsidP="00A5621C">
      <w:pPr>
        <w:spacing w:after="0"/>
        <w:rPr>
          <w:rFonts w:ascii="Nunito" w:hAnsi="Nunito"/>
          <w:sz w:val="22"/>
          <w:szCs w:val="22"/>
        </w:rPr>
      </w:pPr>
      <w:r w:rsidRPr="00A5621C">
        <w:rPr>
          <w:rFonts w:ascii="Nunito" w:hAnsi="Nunito"/>
          <w:sz w:val="22"/>
          <w:szCs w:val="22"/>
        </w:rPr>
        <w:t>Como complemento a este análisis ingenieril, se realizó una caracterización ambiental del área de estudio, donde se caracterizó el medio físico, el medio biótico como las áreas protegidas, restringidas y de interés y el medio socioeconómico. Adicionalmente, se realizó un análisis de sitios críticos o de Interés que permitieran focalizar aspectos de interés socioambiental.</w:t>
      </w:r>
    </w:p>
    <w:p w14:paraId="10E4BDBA" w14:textId="77777777" w:rsidR="002431CC" w:rsidRPr="00A5621C" w:rsidRDefault="002431CC" w:rsidP="00A5621C">
      <w:pPr>
        <w:spacing w:after="0"/>
        <w:rPr>
          <w:rFonts w:ascii="Nunito" w:hAnsi="Nunito"/>
          <w:sz w:val="22"/>
          <w:szCs w:val="22"/>
        </w:rPr>
      </w:pPr>
    </w:p>
    <w:p w14:paraId="324F53E0" w14:textId="77777777" w:rsidR="002431CC" w:rsidRPr="00A5621C" w:rsidRDefault="002431CC" w:rsidP="00A5621C">
      <w:pPr>
        <w:pStyle w:val="Heading3"/>
        <w:numPr>
          <w:ilvl w:val="0"/>
          <w:numId w:val="21"/>
        </w:numPr>
        <w:spacing w:before="0" w:after="0"/>
        <w:jc w:val="both"/>
        <w:rPr>
          <w:rFonts w:ascii="Nunito" w:hAnsi="Nunito"/>
          <w:b/>
          <w:color w:val="auto"/>
          <w:sz w:val="22"/>
          <w:szCs w:val="22"/>
          <w:lang w:eastAsia="es-ES"/>
        </w:rPr>
      </w:pPr>
      <w:r w:rsidRPr="00A5621C">
        <w:rPr>
          <w:rFonts w:ascii="Nunito" w:hAnsi="Nunito"/>
          <w:b/>
          <w:color w:val="auto"/>
          <w:sz w:val="22"/>
          <w:szCs w:val="22"/>
          <w:lang w:eastAsia="es-ES"/>
        </w:rPr>
        <w:t>UPME, 2022</w:t>
      </w:r>
    </w:p>
    <w:p w14:paraId="285180E8" w14:textId="77777777" w:rsidR="002431CC" w:rsidRPr="00A5621C" w:rsidRDefault="002431CC" w:rsidP="00A5621C">
      <w:pPr>
        <w:spacing w:after="0"/>
        <w:rPr>
          <w:rFonts w:ascii="Nunito" w:hAnsi="Nunito"/>
          <w:sz w:val="22"/>
          <w:szCs w:val="22"/>
        </w:rPr>
      </w:pPr>
    </w:p>
    <w:p w14:paraId="59CB1786" w14:textId="77777777" w:rsidR="002431CC" w:rsidRPr="00A5621C" w:rsidRDefault="002431CC" w:rsidP="00A5621C">
      <w:pPr>
        <w:spacing w:after="0"/>
        <w:jc w:val="both"/>
        <w:rPr>
          <w:rFonts w:ascii="Nunito" w:hAnsi="Nunito"/>
          <w:sz w:val="22"/>
          <w:szCs w:val="22"/>
        </w:rPr>
      </w:pPr>
      <w:r w:rsidRPr="00A5621C">
        <w:rPr>
          <w:rFonts w:ascii="Nunito" w:hAnsi="Nunito"/>
          <w:sz w:val="22"/>
          <w:szCs w:val="22"/>
        </w:rPr>
        <w:t>En el año 2022, la UPME elaboró al interior de la entidad un instrumento informativo denominado “</w:t>
      </w:r>
      <w:r w:rsidRPr="00A5621C">
        <w:rPr>
          <w:rFonts w:ascii="Nunito" w:hAnsi="Nunito"/>
          <w:i/>
          <w:iCs/>
          <w:sz w:val="22"/>
          <w:szCs w:val="22"/>
        </w:rPr>
        <w:t>Identificación de condicionantes y restricciones ambientales y socioculturales</w:t>
      </w:r>
      <w:r w:rsidRPr="00A5621C">
        <w:rPr>
          <w:rFonts w:ascii="Nunito" w:hAnsi="Nunito"/>
          <w:sz w:val="22"/>
          <w:szCs w:val="22"/>
        </w:rPr>
        <w:t xml:space="preserve">”, en el marco de la implementación de los proyectos adoptados en el Plan de Expansión de la Red de Poliductos por el Ministerio de Minas y Energía, con base en el Plan Indicativo de Abastecimiento de Combustibles Líquidos (PIACL, 2021- Análisis de Abastecimiento y 2022- Análisis de Confiabilidad). </w:t>
      </w:r>
    </w:p>
    <w:p w14:paraId="5F526850" w14:textId="77777777" w:rsidR="002431CC" w:rsidRPr="00A5621C" w:rsidRDefault="002431CC" w:rsidP="00A5621C">
      <w:pPr>
        <w:spacing w:after="0"/>
        <w:jc w:val="both"/>
        <w:rPr>
          <w:rFonts w:ascii="Nunito" w:hAnsi="Nunito"/>
          <w:sz w:val="22"/>
          <w:szCs w:val="22"/>
        </w:rPr>
      </w:pPr>
    </w:p>
    <w:p w14:paraId="7778AFD5" w14:textId="77777777" w:rsidR="002431CC" w:rsidRPr="00A5621C" w:rsidRDefault="002431CC" w:rsidP="00A5621C">
      <w:pPr>
        <w:spacing w:after="0"/>
        <w:jc w:val="both"/>
        <w:rPr>
          <w:rFonts w:ascii="Nunito" w:hAnsi="Nunito"/>
          <w:sz w:val="22"/>
          <w:szCs w:val="22"/>
        </w:rPr>
      </w:pPr>
      <w:r w:rsidRPr="00A5621C">
        <w:rPr>
          <w:rFonts w:ascii="Nunito" w:hAnsi="Nunito"/>
          <w:sz w:val="22"/>
          <w:szCs w:val="22"/>
        </w:rPr>
        <w:t xml:space="preserve">En este análisis, se buscaba actualizar la información socioambiental que fue revisada por la empresa </w:t>
      </w:r>
      <w:proofErr w:type="spellStart"/>
      <w:r w:rsidRPr="00A5621C">
        <w:rPr>
          <w:rFonts w:ascii="Nunito" w:hAnsi="Nunito"/>
          <w:sz w:val="22"/>
          <w:szCs w:val="22"/>
        </w:rPr>
        <w:t>Delvasto</w:t>
      </w:r>
      <w:proofErr w:type="spellEnd"/>
      <w:r w:rsidRPr="00A5621C">
        <w:rPr>
          <w:rFonts w:ascii="Nunito" w:hAnsi="Nunito"/>
          <w:sz w:val="22"/>
          <w:szCs w:val="22"/>
        </w:rPr>
        <w:t xml:space="preserve"> &amp; Echeverria Asociados, en el año 2019. Por lo tanto, a partir de una actualización del área de estudio, se realizó un análisis socioambiental en la nueva área definida, seguido de una zonificación por dimensiones a partir de la anterior caracterización, para terminar, identificando condicionantes y restricciones en la zona de interés.</w:t>
      </w:r>
    </w:p>
    <w:p w14:paraId="6BFE785C" w14:textId="77777777" w:rsidR="002431CC" w:rsidRPr="00A5621C" w:rsidRDefault="002431CC" w:rsidP="00A5621C">
      <w:pPr>
        <w:spacing w:after="0"/>
        <w:jc w:val="both"/>
        <w:rPr>
          <w:rFonts w:ascii="Nunito" w:hAnsi="Nunito"/>
          <w:sz w:val="22"/>
          <w:szCs w:val="22"/>
        </w:rPr>
      </w:pPr>
    </w:p>
    <w:p w14:paraId="1C5C568A" w14:textId="77777777" w:rsidR="002431CC" w:rsidRPr="00A5621C" w:rsidRDefault="002431CC" w:rsidP="00A5621C">
      <w:pPr>
        <w:spacing w:after="0"/>
        <w:jc w:val="both"/>
        <w:rPr>
          <w:rFonts w:ascii="Nunito" w:hAnsi="Nunito"/>
          <w:sz w:val="22"/>
          <w:szCs w:val="22"/>
        </w:rPr>
      </w:pPr>
      <w:r w:rsidRPr="00A5621C">
        <w:rPr>
          <w:rFonts w:ascii="Nunito" w:hAnsi="Nunito"/>
          <w:sz w:val="22"/>
          <w:szCs w:val="22"/>
        </w:rPr>
        <w:t xml:space="preserve">Finalmente, se evaluaron externalidades dentro de un contexto del análisis de entorno, puesto que se pretendía identificar aquellas variables que podrían generan incertidumbre en la ejecución del proyecto y por lo tanto modificarlo de forma exógena; es importante considerar que en una etapa preliminar no es posible cuantificar los diferentes costos y beneficios asociados a la ejecución del proyecto, considerando que la valoración económica ambiental está limitada debido al uso de información secundaria, es solo un instrumento guía. </w:t>
      </w:r>
    </w:p>
    <w:p w14:paraId="61D0D68B" w14:textId="77777777" w:rsidR="008F6A34" w:rsidRPr="00A5621C" w:rsidRDefault="008F6A34" w:rsidP="00A5621C">
      <w:pPr>
        <w:rPr>
          <w:lang w:eastAsia="es-ES"/>
        </w:rPr>
      </w:pPr>
    </w:p>
    <w:p w14:paraId="041DFB8E" w14:textId="77777777" w:rsidR="002431CC" w:rsidRPr="00A5621C" w:rsidRDefault="002431CC" w:rsidP="00A5621C">
      <w:pPr>
        <w:pStyle w:val="Heading3"/>
        <w:numPr>
          <w:ilvl w:val="0"/>
          <w:numId w:val="21"/>
        </w:numPr>
        <w:spacing w:before="0" w:after="0"/>
        <w:jc w:val="both"/>
        <w:rPr>
          <w:rFonts w:ascii="Nunito" w:hAnsi="Nunito"/>
          <w:b/>
          <w:color w:val="auto"/>
          <w:sz w:val="22"/>
          <w:szCs w:val="22"/>
          <w:lang w:eastAsia="es-ES"/>
        </w:rPr>
      </w:pPr>
      <w:proofErr w:type="spellStart"/>
      <w:r w:rsidRPr="00A5621C">
        <w:rPr>
          <w:rFonts w:ascii="Nunito" w:hAnsi="Nunito"/>
          <w:b/>
          <w:color w:val="auto"/>
          <w:sz w:val="22"/>
          <w:szCs w:val="22"/>
          <w:lang w:eastAsia="es-ES"/>
        </w:rPr>
        <w:t>Ecosimple</w:t>
      </w:r>
      <w:proofErr w:type="spellEnd"/>
      <w:r w:rsidRPr="00A5621C">
        <w:rPr>
          <w:rFonts w:ascii="Nunito" w:hAnsi="Nunito"/>
          <w:b/>
          <w:color w:val="auto"/>
          <w:sz w:val="22"/>
          <w:szCs w:val="22"/>
          <w:lang w:eastAsia="es-ES"/>
        </w:rPr>
        <w:t xml:space="preserve"> S.A.S., 2023</w:t>
      </w:r>
    </w:p>
    <w:p w14:paraId="0D482F9C" w14:textId="77777777" w:rsidR="002431CC" w:rsidRPr="00A5621C" w:rsidRDefault="002431CC" w:rsidP="00A5621C">
      <w:pPr>
        <w:spacing w:after="0"/>
        <w:rPr>
          <w:rFonts w:ascii="Nunito" w:hAnsi="Nunito"/>
          <w:sz w:val="22"/>
          <w:szCs w:val="22"/>
        </w:rPr>
      </w:pPr>
    </w:p>
    <w:p w14:paraId="25572FEB" w14:textId="77777777" w:rsidR="002431CC" w:rsidRPr="00A5621C" w:rsidRDefault="002431CC" w:rsidP="00A5621C">
      <w:pPr>
        <w:spacing w:after="0"/>
        <w:jc w:val="both"/>
        <w:rPr>
          <w:rFonts w:ascii="Nunito" w:hAnsi="Nunito"/>
          <w:sz w:val="22"/>
          <w:szCs w:val="22"/>
        </w:rPr>
      </w:pPr>
      <w:r w:rsidRPr="00A5621C">
        <w:rPr>
          <w:rFonts w:ascii="Nunito" w:hAnsi="Nunito"/>
          <w:sz w:val="22"/>
          <w:szCs w:val="22"/>
        </w:rPr>
        <w:t xml:space="preserve">En el año 2022, la UPME contrató una consultoría desarrollada por la empresa </w:t>
      </w:r>
      <w:proofErr w:type="spellStart"/>
      <w:r w:rsidRPr="00A5621C">
        <w:rPr>
          <w:rFonts w:ascii="Nunito" w:hAnsi="Nunito"/>
          <w:sz w:val="22"/>
          <w:szCs w:val="22"/>
        </w:rPr>
        <w:t>Ecosimple</w:t>
      </w:r>
      <w:proofErr w:type="spellEnd"/>
      <w:r w:rsidRPr="00A5621C">
        <w:rPr>
          <w:rFonts w:ascii="Nunito" w:hAnsi="Nunito"/>
          <w:sz w:val="22"/>
          <w:szCs w:val="22"/>
        </w:rPr>
        <w:t>, para realizar un estudio de “</w:t>
      </w:r>
      <w:r w:rsidRPr="00A5621C">
        <w:rPr>
          <w:rFonts w:ascii="Nunito" w:hAnsi="Nunito"/>
          <w:i/>
          <w:iCs/>
          <w:sz w:val="22"/>
          <w:szCs w:val="22"/>
        </w:rPr>
        <w:t>Análisis de entorno considerando las posibilidades, los condicionantes y los riesgos en las dimensiones sectorial, ambiental, sociocultural, económica y político – institucional, así como el costo-beneficio de las alternativas técnicas en estudio, frente al desarrollo futuro del poliducto Yumbo – Pasto</w:t>
      </w:r>
      <w:r w:rsidRPr="00A5621C">
        <w:rPr>
          <w:rFonts w:ascii="Nunito" w:hAnsi="Nunito"/>
          <w:sz w:val="22"/>
          <w:szCs w:val="22"/>
        </w:rPr>
        <w:t>”. Lo anterior, con el objetivo de implementar la metodología de enfoque territorial, que había formulado la UPME en el año 2022, para ser implementada en los diferentes planes y estudios que se elaboraran</w:t>
      </w:r>
      <w:r w:rsidRPr="00A5621C">
        <w:rPr>
          <w:rStyle w:val="FootnoteReference"/>
          <w:rFonts w:ascii="Nunito" w:hAnsi="Nunito"/>
          <w:sz w:val="22"/>
          <w:szCs w:val="22"/>
        </w:rPr>
        <w:footnoteReference w:id="22"/>
      </w:r>
      <w:r w:rsidRPr="00A5621C">
        <w:rPr>
          <w:rFonts w:ascii="Nunito" w:hAnsi="Nunito"/>
          <w:sz w:val="22"/>
          <w:szCs w:val="22"/>
        </w:rPr>
        <w:t xml:space="preserve">. </w:t>
      </w:r>
    </w:p>
    <w:p w14:paraId="1CD5FF59" w14:textId="77777777" w:rsidR="002431CC" w:rsidRPr="00A5621C" w:rsidRDefault="002431CC" w:rsidP="00A5621C">
      <w:pPr>
        <w:spacing w:after="0"/>
        <w:jc w:val="both"/>
        <w:rPr>
          <w:rFonts w:ascii="Nunito" w:hAnsi="Nunito"/>
          <w:sz w:val="22"/>
          <w:szCs w:val="22"/>
        </w:rPr>
      </w:pPr>
    </w:p>
    <w:p w14:paraId="58B1BCEB" w14:textId="77777777" w:rsidR="002431CC" w:rsidRPr="00A5621C" w:rsidRDefault="002431CC" w:rsidP="00A5621C">
      <w:pPr>
        <w:spacing w:after="0"/>
        <w:jc w:val="both"/>
        <w:rPr>
          <w:rFonts w:ascii="Nunito" w:hAnsi="Nunito"/>
          <w:sz w:val="22"/>
          <w:szCs w:val="22"/>
        </w:rPr>
      </w:pPr>
      <w:r w:rsidRPr="00A5621C">
        <w:rPr>
          <w:rFonts w:ascii="Nunito" w:hAnsi="Nunito"/>
          <w:sz w:val="22"/>
          <w:szCs w:val="22"/>
        </w:rPr>
        <w:t>Este estudio, tomó como base los dos estudios mencionados anteriormente y constó de 3 etapas. En la primera etapa, se llevó a cabo una evaluación y ajuste del área de estudio, mapeo de actores en el área de estudio y planeación de trabajo de campo, dado que con esta consultoría se buscaba tener un acercamiento con el territorio en búsqueda de información primaria que fuera de interés para la planeación.</w:t>
      </w:r>
    </w:p>
    <w:p w14:paraId="35A95711" w14:textId="77777777" w:rsidR="002431CC" w:rsidRPr="00A5621C" w:rsidRDefault="002431CC" w:rsidP="00A5621C">
      <w:pPr>
        <w:spacing w:after="0"/>
        <w:jc w:val="both"/>
        <w:rPr>
          <w:rFonts w:ascii="Nunito" w:hAnsi="Nunito"/>
          <w:sz w:val="22"/>
          <w:szCs w:val="22"/>
        </w:rPr>
      </w:pPr>
    </w:p>
    <w:p w14:paraId="3C7DFCE5" w14:textId="77777777" w:rsidR="002431CC" w:rsidRPr="00A5621C" w:rsidRDefault="002431CC" w:rsidP="00A5621C">
      <w:pPr>
        <w:spacing w:after="0"/>
        <w:jc w:val="both"/>
        <w:rPr>
          <w:rFonts w:ascii="Nunito" w:hAnsi="Nunito"/>
          <w:sz w:val="22"/>
          <w:szCs w:val="22"/>
        </w:rPr>
      </w:pPr>
      <w:r w:rsidRPr="00A5621C">
        <w:rPr>
          <w:rFonts w:ascii="Nunito" w:hAnsi="Nunito"/>
          <w:sz w:val="22"/>
          <w:szCs w:val="22"/>
        </w:rPr>
        <w:t>En la segunda etapa, se realizaron las visitas en territorio, posteriormente, se da un análisis de la información secundaria y primaria obtenida del área de estudio y se finaliza con un análisis preliminar de entorno y costo/beneficio. En la tercera etapa, la consultoría realizó un análisis final de entorno y costo/beneficio.</w:t>
      </w:r>
    </w:p>
    <w:p w14:paraId="485BAF3D" w14:textId="77777777" w:rsidR="002431CC" w:rsidRPr="00A5621C" w:rsidRDefault="002431CC" w:rsidP="00A5621C">
      <w:pPr>
        <w:spacing w:after="0"/>
        <w:rPr>
          <w:rFonts w:ascii="Nunito" w:hAnsi="Nunito"/>
          <w:sz w:val="22"/>
          <w:szCs w:val="22"/>
        </w:rPr>
      </w:pPr>
    </w:p>
    <w:p w14:paraId="005E8D08" w14:textId="7DBDC29A" w:rsidR="002431CC" w:rsidRPr="00A5621C" w:rsidRDefault="002431CC" w:rsidP="00A5621C">
      <w:pPr>
        <w:pStyle w:val="ListParagraph"/>
        <w:numPr>
          <w:ilvl w:val="0"/>
          <w:numId w:val="20"/>
        </w:numPr>
        <w:spacing w:after="0"/>
        <w:rPr>
          <w:rFonts w:ascii="Nunito" w:hAnsi="Nunito"/>
          <w:b/>
          <w:bCs/>
          <w:color w:val="94C700"/>
          <w:sz w:val="28"/>
          <w:szCs w:val="28"/>
        </w:rPr>
      </w:pPr>
      <w:r w:rsidRPr="00A5621C">
        <w:rPr>
          <w:rFonts w:ascii="Nunito" w:eastAsiaTheme="majorEastAsia" w:hAnsi="Nunito" w:cstheme="majorBidi"/>
          <w:b/>
          <w:bCs/>
          <w:color w:val="94C700"/>
          <w:sz w:val="28"/>
          <w:szCs w:val="28"/>
        </w:rPr>
        <w:t>Definición de área de estudio</w:t>
      </w:r>
    </w:p>
    <w:p w14:paraId="46552587" w14:textId="77777777" w:rsidR="002431CC" w:rsidRPr="00A5621C" w:rsidRDefault="002431CC" w:rsidP="00A5621C">
      <w:pPr>
        <w:pStyle w:val="ListParagraph"/>
        <w:spacing w:after="0"/>
        <w:rPr>
          <w:rFonts w:ascii="Nunito" w:hAnsi="Nunito"/>
          <w:sz w:val="22"/>
          <w:szCs w:val="22"/>
        </w:rPr>
      </w:pPr>
    </w:p>
    <w:p w14:paraId="4B8D79AB" w14:textId="63F61588" w:rsidR="002431CC" w:rsidRPr="00A5621C" w:rsidRDefault="002431CC" w:rsidP="00A5621C">
      <w:pPr>
        <w:spacing w:after="0"/>
        <w:jc w:val="both"/>
        <w:rPr>
          <w:rFonts w:ascii="Nunito" w:hAnsi="Nunito"/>
          <w:b/>
          <w:bCs/>
          <w:sz w:val="22"/>
          <w:szCs w:val="22"/>
        </w:rPr>
      </w:pPr>
      <w:r w:rsidRPr="00A5621C">
        <w:rPr>
          <w:rFonts w:ascii="Nunito" w:hAnsi="Nunito"/>
          <w:sz w:val="22"/>
          <w:szCs w:val="22"/>
        </w:rPr>
        <w:t>La Unidad de Planeación Minero Energética – UPME, al realizar planes indicativos en el sector de hidrocarburos, no define los trazados específicos por donde puedan desarrollarse las obras de interés adoptadas por el Ministerio de Minas y Energía, que permitan asegurar el abastecimiento de combustibles líquidos en el país; sin embargo, para lograr un análisis socioambiental y sectorial para la obra del Poliducto Yumbo – Pasto, en los diferentes estudios mencionados en el numeral anterior, se definió un área de estudio de referencia, la cual se ubica entre los departamentos del Valle del Cauca, Cauca y Nariño. Esta área en el primer estudio del año 2019 se estableció con una extensión de 25.000 Km</w:t>
      </w:r>
      <w:r w:rsidRPr="00A5621C">
        <w:rPr>
          <w:rFonts w:ascii="Nunito" w:hAnsi="Nunito"/>
          <w:sz w:val="22"/>
          <w:szCs w:val="22"/>
          <w:vertAlign w:val="superscript"/>
        </w:rPr>
        <w:t>2</w:t>
      </w:r>
      <w:r w:rsidRPr="00A5621C">
        <w:rPr>
          <w:rFonts w:ascii="Nunito" w:hAnsi="Nunito"/>
          <w:sz w:val="22"/>
          <w:szCs w:val="22"/>
        </w:rPr>
        <w:t>, mientras que en el último estudio del año 2022 pasó a 14.103 Km</w:t>
      </w:r>
      <w:r w:rsidRPr="00A5621C">
        <w:rPr>
          <w:rFonts w:ascii="Nunito" w:hAnsi="Nunito"/>
          <w:sz w:val="22"/>
          <w:szCs w:val="22"/>
          <w:vertAlign w:val="superscript"/>
        </w:rPr>
        <w:t>2</w:t>
      </w:r>
      <w:r w:rsidRPr="00A5621C">
        <w:rPr>
          <w:rFonts w:ascii="Nunito" w:hAnsi="Nunito"/>
          <w:sz w:val="22"/>
          <w:szCs w:val="22"/>
        </w:rPr>
        <w:t xml:space="preserve">, para lograr una mejor escala de análisis. </w:t>
      </w:r>
    </w:p>
    <w:p w14:paraId="0D81843E" w14:textId="77777777" w:rsidR="002431CC" w:rsidRPr="00A5621C" w:rsidRDefault="002431CC" w:rsidP="00A5621C">
      <w:pPr>
        <w:spacing w:after="0"/>
        <w:rPr>
          <w:rFonts w:ascii="Nunito" w:hAnsi="Nunito"/>
          <w:sz w:val="22"/>
          <w:szCs w:val="22"/>
        </w:rPr>
      </w:pPr>
    </w:p>
    <w:p w14:paraId="3CBB0050" w14:textId="77777777" w:rsidR="002431CC" w:rsidRPr="00A5621C" w:rsidRDefault="002431CC" w:rsidP="00A5621C">
      <w:pPr>
        <w:pStyle w:val="Heading2"/>
        <w:numPr>
          <w:ilvl w:val="0"/>
          <w:numId w:val="20"/>
        </w:numPr>
        <w:spacing w:before="0" w:after="0"/>
        <w:ind w:left="0" w:firstLine="0"/>
        <w:jc w:val="both"/>
        <w:rPr>
          <w:rFonts w:ascii="Nunito" w:hAnsi="Nunito"/>
          <w:b/>
          <w:bCs/>
          <w:color w:val="94C700"/>
          <w:sz w:val="28"/>
          <w:szCs w:val="28"/>
        </w:rPr>
      </w:pPr>
      <w:r w:rsidRPr="00A5621C">
        <w:rPr>
          <w:rFonts w:ascii="Nunito" w:hAnsi="Nunito"/>
          <w:b/>
          <w:bCs/>
          <w:color w:val="94C700"/>
          <w:sz w:val="28"/>
          <w:szCs w:val="28"/>
        </w:rPr>
        <w:t>Variables socioambientales</w:t>
      </w:r>
    </w:p>
    <w:p w14:paraId="6D07C2F8" w14:textId="77777777" w:rsidR="002431CC" w:rsidRPr="00A5621C" w:rsidRDefault="002431CC" w:rsidP="00A5621C">
      <w:pPr>
        <w:spacing w:after="0"/>
        <w:rPr>
          <w:rFonts w:ascii="Nunito" w:hAnsi="Nunito"/>
          <w:sz w:val="22"/>
          <w:szCs w:val="22"/>
        </w:rPr>
      </w:pPr>
    </w:p>
    <w:p w14:paraId="5DCF8FFD" w14:textId="77777777" w:rsidR="002431CC" w:rsidRPr="00FB0D65" w:rsidRDefault="002431CC" w:rsidP="00FB0D65">
      <w:pPr>
        <w:spacing w:after="0"/>
        <w:jc w:val="both"/>
        <w:rPr>
          <w:rFonts w:ascii="Nunito" w:hAnsi="Nunito"/>
          <w:sz w:val="22"/>
          <w:szCs w:val="22"/>
        </w:rPr>
      </w:pPr>
      <w:r w:rsidRPr="00FB0D65">
        <w:rPr>
          <w:rFonts w:ascii="Nunito" w:hAnsi="Nunito"/>
          <w:sz w:val="22"/>
          <w:szCs w:val="22"/>
        </w:rPr>
        <w:t>A continuación, se relacionan las principales variables socioambientales analizadas a través de los diferentes estudios citados y que pueden ser un insumo de utilidad para el desarrollo del proyecto.</w:t>
      </w:r>
    </w:p>
    <w:p w14:paraId="7ED3CC53" w14:textId="77777777" w:rsidR="002431CC" w:rsidRPr="00FB0D65" w:rsidRDefault="002431CC" w:rsidP="00FB0D65">
      <w:pPr>
        <w:spacing w:after="0"/>
        <w:jc w:val="both"/>
        <w:rPr>
          <w:rFonts w:ascii="Nunito" w:hAnsi="Nunito"/>
          <w:sz w:val="22"/>
          <w:szCs w:val="22"/>
        </w:rPr>
      </w:pPr>
    </w:p>
    <w:p w14:paraId="1E52902E" w14:textId="77777777" w:rsidR="002431CC" w:rsidRPr="00FB0D65" w:rsidRDefault="002431CC" w:rsidP="00FB0D65">
      <w:pPr>
        <w:pStyle w:val="ListParagraph"/>
        <w:numPr>
          <w:ilvl w:val="0"/>
          <w:numId w:val="19"/>
        </w:numPr>
        <w:spacing w:after="0"/>
        <w:jc w:val="both"/>
        <w:rPr>
          <w:rFonts w:ascii="Nunito" w:hAnsi="Nunito"/>
          <w:sz w:val="22"/>
          <w:szCs w:val="22"/>
        </w:rPr>
      </w:pPr>
      <w:r w:rsidRPr="00FB0D65">
        <w:rPr>
          <w:rFonts w:ascii="Nunito" w:hAnsi="Nunito"/>
          <w:sz w:val="22"/>
          <w:szCs w:val="22"/>
          <w:u w:val="single"/>
        </w:rPr>
        <w:t>Zonas de inundación</w:t>
      </w:r>
      <w:r w:rsidRPr="00FB0D65">
        <w:rPr>
          <w:rFonts w:ascii="Nunito" w:hAnsi="Nunito"/>
          <w:sz w:val="22"/>
          <w:szCs w:val="22"/>
        </w:rPr>
        <w:t>. En el área de estudio, se presentan varias zonas de inundación en los tres (3) departamentos.</w:t>
      </w:r>
    </w:p>
    <w:p w14:paraId="6071EA48" w14:textId="77777777" w:rsidR="002431CC" w:rsidRPr="00FB0D65" w:rsidRDefault="002431CC" w:rsidP="00FB0D65">
      <w:pPr>
        <w:pStyle w:val="ListParagraph"/>
        <w:spacing w:after="0"/>
        <w:ind w:left="1080"/>
        <w:jc w:val="both"/>
        <w:rPr>
          <w:rFonts w:ascii="Nunito" w:hAnsi="Nunito"/>
          <w:sz w:val="22"/>
          <w:szCs w:val="22"/>
        </w:rPr>
      </w:pPr>
    </w:p>
    <w:p w14:paraId="0D35C77E" w14:textId="2F3FD34E" w:rsidR="002431CC" w:rsidRPr="00FB0D65" w:rsidRDefault="002431CC" w:rsidP="00FB0D65">
      <w:pPr>
        <w:pStyle w:val="ListParagraph"/>
        <w:numPr>
          <w:ilvl w:val="0"/>
          <w:numId w:val="19"/>
        </w:numPr>
        <w:spacing w:after="0"/>
        <w:rPr>
          <w:rFonts w:ascii="Nunito" w:hAnsi="Nunito"/>
          <w:sz w:val="22"/>
          <w:szCs w:val="22"/>
        </w:rPr>
      </w:pPr>
      <w:r w:rsidRPr="00FB0D65">
        <w:rPr>
          <w:rFonts w:ascii="Nunito" w:hAnsi="Nunito"/>
          <w:sz w:val="22"/>
          <w:szCs w:val="22"/>
          <w:u w:val="single"/>
        </w:rPr>
        <w:t xml:space="preserve">Áreas protegidas Sistema de Parques Nacionales – SPNN: </w:t>
      </w:r>
      <w:r w:rsidRPr="00FB0D65">
        <w:rPr>
          <w:rFonts w:ascii="Nunito" w:hAnsi="Nunito"/>
          <w:sz w:val="22"/>
          <w:szCs w:val="22"/>
        </w:rPr>
        <w:t>Con base en el RUNAP, en el área de estudio se evidencian</w:t>
      </w:r>
      <w:r w:rsidR="00FB0D65">
        <w:rPr>
          <w:rFonts w:ascii="Nunito" w:hAnsi="Nunito"/>
          <w:sz w:val="22"/>
          <w:szCs w:val="22"/>
        </w:rPr>
        <w:t xml:space="preserve"> las siguientes áreas</w:t>
      </w:r>
      <w:r w:rsidRPr="00FB0D65">
        <w:rPr>
          <w:rFonts w:ascii="Nunito" w:hAnsi="Nunito"/>
          <w:sz w:val="22"/>
          <w:szCs w:val="22"/>
        </w:rPr>
        <w:t>:</w:t>
      </w:r>
    </w:p>
    <w:p w14:paraId="6332DF80" w14:textId="77777777" w:rsidR="002431CC" w:rsidRPr="00FB0D65" w:rsidRDefault="002431CC" w:rsidP="00FB0D65">
      <w:pPr>
        <w:pStyle w:val="ListParagraph"/>
        <w:numPr>
          <w:ilvl w:val="0"/>
          <w:numId w:val="17"/>
        </w:numPr>
        <w:spacing w:after="0"/>
        <w:ind w:hanging="294"/>
        <w:jc w:val="both"/>
        <w:rPr>
          <w:rFonts w:ascii="Nunito" w:hAnsi="Nunito"/>
          <w:sz w:val="22"/>
          <w:szCs w:val="22"/>
        </w:rPr>
      </w:pPr>
      <w:r w:rsidRPr="00FB0D65">
        <w:rPr>
          <w:rFonts w:ascii="Nunito" w:hAnsi="Nunito"/>
          <w:sz w:val="22"/>
          <w:szCs w:val="22"/>
        </w:rPr>
        <w:t>Cinco (5) Parques Nacionales Naturales – PNN, como el Complejo Volcánico Doña Juana Cascabel, Farallones de Cali, Munchique, Puracé y Las Hermosas.</w:t>
      </w:r>
    </w:p>
    <w:p w14:paraId="31B50A37" w14:textId="77777777" w:rsidR="002431CC" w:rsidRPr="00FB0D65" w:rsidRDefault="002431CC" w:rsidP="00FB0D65">
      <w:pPr>
        <w:pStyle w:val="ListParagraph"/>
        <w:numPr>
          <w:ilvl w:val="0"/>
          <w:numId w:val="17"/>
        </w:numPr>
        <w:spacing w:after="0"/>
        <w:ind w:hanging="294"/>
        <w:jc w:val="both"/>
        <w:rPr>
          <w:rFonts w:ascii="Nunito" w:hAnsi="Nunito"/>
          <w:sz w:val="22"/>
          <w:szCs w:val="22"/>
        </w:rPr>
      </w:pPr>
      <w:r w:rsidRPr="00FB0D65">
        <w:rPr>
          <w:rFonts w:ascii="Nunito" w:hAnsi="Nunito"/>
          <w:sz w:val="22"/>
          <w:szCs w:val="22"/>
        </w:rPr>
        <w:t>114</w:t>
      </w:r>
      <w:r w:rsidRPr="00FB0D65">
        <w:rPr>
          <w:rFonts w:ascii="Nunito" w:hAnsi="Nunito"/>
          <w:b/>
          <w:bCs/>
          <w:sz w:val="22"/>
          <w:szCs w:val="22"/>
        </w:rPr>
        <w:t xml:space="preserve"> </w:t>
      </w:r>
      <w:proofErr w:type="gramStart"/>
      <w:r w:rsidRPr="00FB0D65">
        <w:rPr>
          <w:rFonts w:ascii="Nunito" w:hAnsi="Nunito"/>
          <w:sz w:val="22"/>
          <w:szCs w:val="22"/>
        </w:rPr>
        <w:t>Reservas</w:t>
      </w:r>
      <w:proofErr w:type="gramEnd"/>
      <w:r w:rsidRPr="00FB0D65">
        <w:rPr>
          <w:rFonts w:ascii="Nunito" w:hAnsi="Nunito"/>
          <w:sz w:val="22"/>
          <w:szCs w:val="22"/>
        </w:rPr>
        <w:t xml:space="preserve"> Naturales de la Sociedad Civil- RNSC, localizadas en el departamento del Cauca</w:t>
      </w:r>
      <w:r w:rsidRPr="00FB0D65">
        <w:rPr>
          <w:rFonts w:ascii="Nunito" w:hAnsi="Nunito"/>
          <w:b/>
          <w:bCs/>
          <w:sz w:val="22"/>
          <w:szCs w:val="22"/>
        </w:rPr>
        <w:t xml:space="preserve">, </w:t>
      </w:r>
      <w:r w:rsidRPr="00FB0D65">
        <w:rPr>
          <w:rFonts w:ascii="Nunito" w:hAnsi="Nunito"/>
          <w:sz w:val="22"/>
          <w:szCs w:val="22"/>
        </w:rPr>
        <w:t>23 en el Valle del Cauca y 10 en Nariño.</w:t>
      </w:r>
    </w:p>
    <w:p w14:paraId="0955BC39" w14:textId="77777777" w:rsidR="002431CC" w:rsidRPr="00FB0D65" w:rsidRDefault="002431CC" w:rsidP="00FB0D65">
      <w:pPr>
        <w:pStyle w:val="ListParagraph"/>
        <w:numPr>
          <w:ilvl w:val="0"/>
          <w:numId w:val="17"/>
        </w:numPr>
        <w:spacing w:after="0"/>
        <w:ind w:hanging="294"/>
        <w:jc w:val="both"/>
        <w:rPr>
          <w:rFonts w:ascii="Nunito" w:hAnsi="Nunito"/>
          <w:sz w:val="22"/>
          <w:szCs w:val="22"/>
        </w:rPr>
      </w:pPr>
      <w:r w:rsidRPr="00FB0D65">
        <w:rPr>
          <w:rFonts w:ascii="Nunito" w:hAnsi="Nunito"/>
          <w:sz w:val="22"/>
          <w:szCs w:val="22"/>
        </w:rPr>
        <w:t xml:space="preserve">El Santuarios de Flora y Fauna – SFF Galeras. </w:t>
      </w:r>
    </w:p>
    <w:p w14:paraId="39227AD3" w14:textId="77777777" w:rsidR="002431CC" w:rsidRPr="00FB0D65" w:rsidRDefault="002431CC" w:rsidP="00FB0D65">
      <w:pPr>
        <w:pStyle w:val="ListParagraph"/>
        <w:numPr>
          <w:ilvl w:val="0"/>
          <w:numId w:val="17"/>
        </w:numPr>
        <w:spacing w:after="0"/>
        <w:ind w:hanging="294"/>
        <w:jc w:val="both"/>
        <w:rPr>
          <w:rFonts w:ascii="Nunito" w:hAnsi="Nunito"/>
          <w:sz w:val="22"/>
          <w:szCs w:val="22"/>
        </w:rPr>
      </w:pPr>
      <w:r w:rsidRPr="00FB0D65">
        <w:rPr>
          <w:rFonts w:ascii="Nunito" w:hAnsi="Nunito"/>
          <w:sz w:val="22"/>
          <w:szCs w:val="22"/>
        </w:rPr>
        <w:t xml:space="preserve">Santuario de flora – SF Isla de la Corota y el SF Plantas Medicinales Orito </w:t>
      </w:r>
      <w:proofErr w:type="spellStart"/>
      <w:r w:rsidRPr="00FB0D65">
        <w:rPr>
          <w:rFonts w:ascii="Nunito" w:hAnsi="Nunito"/>
          <w:sz w:val="22"/>
          <w:szCs w:val="22"/>
        </w:rPr>
        <w:t>Ingi</w:t>
      </w:r>
      <w:proofErr w:type="spellEnd"/>
      <w:r w:rsidRPr="00FB0D65">
        <w:rPr>
          <w:rFonts w:ascii="Nunito" w:hAnsi="Nunito"/>
          <w:sz w:val="22"/>
          <w:szCs w:val="22"/>
        </w:rPr>
        <w:t xml:space="preserve"> Ande.</w:t>
      </w:r>
    </w:p>
    <w:p w14:paraId="7ACEB941" w14:textId="77777777" w:rsidR="002431CC" w:rsidRPr="00FB0D65" w:rsidRDefault="002431CC" w:rsidP="00FB0D65">
      <w:pPr>
        <w:pStyle w:val="ListParagraph"/>
        <w:numPr>
          <w:ilvl w:val="0"/>
          <w:numId w:val="17"/>
        </w:numPr>
        <w:spacing w:after="0"/>
        <w:ind w:hanging="294"/>
        <w:jc w:val="both"/>
        <w:rPr>
          <w:rFonts w:ascii="Nunito" w:hAnsi="Nunito"/>
          <w:sz w:val="22"/>
          <w:szCs w:val="22"/>
        </w:rPr>
      </w:pPr>
      <w:r w:rsidRPr="00FB0D65">
        <w:rPr>
          <w:rFonts w:ascii="Nunito" w:hAnsi="Nunito"/>
          <w:sz w:val="22"/>
          <w:szCs w:val="22"/>
        </w:rPr>
        <w:t xml:space="preserve">Reservas Forestales Protectoras Nacionales – RFPN, en los departamentos de Nariño y Valle del Cauca </w:t>
      </w:r>
    </w:p>
    <w:p w14:paraId="67A5F330" w14:textId="77777777" w:rsidR="002431CC" w:rsidRPr="00FB0D65" w:rsidRDefault="002431CC" w:rsidP="00FB0D65">
      <w:pPr>
        <w:pStyle w:val="ListParagraph"/>
        <w:numPr>
          <w:ilvl w:val="0"/>
          <w:numId w:val="17"/>
        </w:numPr>
        <w:spacing w:after="0"/>
        <w:ind w:hanging="294"/>
        <w:jc w:val="both"/>
        <w:rPr>
          <w:rFonts w:ascii="Nunito" w:hAnsi="Nunito"/>
          <w:sz w:val="22"/>
          <w:szCs w:val="22"/>
        </w:rPr>
      </w:pPr>
      <w:r w:rsidRPr="00FB0D65">
        <w:rPr>
          <w:rFonts w:ascii="Nunito" w:hAnsi="Nunito"/>
          <w:sz w:val="22"/>
          <w:szCs w:val="22"/>
        </w:rPr>
        <w:t>Reservas Forestales Protectoras Regionales – RFPR en el Valle del Cauca.</w:t>
      </w:r>
    </w:p>
    <w:p w14:paraId="646F6CF3" w14:textId="77777777" w:rsidR="002431CC" w:rsidRPr="00FB0D65" w:rsidRDefault="002431CC" w:rsidP="00FB0D65">
      <w:pPr>
        <w:pStyle w:val="ListParagraph"/>
        <w:numPr>
          <w:ilvl w:val="0"/>
          <w:numId w:val="17"/>
        </w:numPr>
        <w:spacing w:after="0"/>
        <w:ind w:hanging="294"/>
        <w:jc w:val="both"/>
        <w:rPr>
          <w:rFonts w:ascii="Nunito" w:hAnsi="Nunito"/>
          <w:sz w:val="22"/>
          <w:szCs w:val="22"/>
        </w:rPr>
      </w:pPr>
      <w:r w:rsidRPr="00FB0D65">
        <w:rPr>
          <w:rFonts w:ascii="Nunito" w:hAnsi="Nunito"/>
          <w:sz w:val="22"/>
          <w:szCs w:val="22"/>
        </w:rPr>
        <w:t>Parques Naturales Regionales – PNR, se encuentran 2 en el departamento del Cauca, 1 en Nariño y 2 en el Valle del Cauca.</w:t>
      </w:r>
    </w:p>
    <w:p w14:paraId="21B3916D" w14:textId="77777777" w:rsidR="002431CC" w:rsidRPr="00FB0D65" w:rsidRDefault="002431CC" w:rsidP="00FB0D65">
      <w:pPr>
        <w:pStyle w:val="ListParagraph"/>
        <w:numPr>
          <w:ilvl w:val="0"/>
          <w:numId w:val="17"/>
        </w:numPr>
        <w:spacing w:after="0"/>
        <w:ind w:hanging="294"/>
        <w:jc w:val="both"/>
        <w:rPr>
          <w:rFonts w:ascii="Nunito" w:hAnsi="Nunito"/>
          <w:sz w:val="22"/>
          <w:szCs w:val="22"/>
        </w:rPr>
      </w:pPr>
      <w:r w:rsidRPr="00FB0D65">
        <w:rPr>
          <w:rFonts w:ascii="Nunito" w:hAnsi="Nunito"/>
          <w:sz w:val="22"/>
          <w:szCs w:val="22"/>
        </w:rPr>
        <w:t>Distritos Regionales de Manejo Integrado – DRMI, 1 en Nariño y 1 en el Valle del Cauca.</w:t>
      </w:r>
    </w:p>
    <w:p w14:paraId="00DED2B3" w14:textId="77777777" w:rsidR="002431CC" w:rsidRPr="00FB0D65" w:rsidRDefault="002431CC" w:rsidP="00FB0D65">
      <w:pPr>
        <w:spacing w:after="0"/>
        <w:ind w:left="360"/>
        <w:rPr>
          <w:rFonts w:ascii="Nunito" w:hAnsi="Nunito"/>
          <w:sz w:val="22"/>
          <w:szCs w:val="22"/>
        </w:rPr>
      </w:pPr>
    </w:p>
    <w:p w14:paraId="7F45D72B" w14:textId="77777777" w:rsidR="002431CC" w:rsidRPr="00FB0D65" w:rsidRDefault="002431CC" w:rsidP="00FB0D65">
      <w:pPr>
        <w:pStyle w:val="ListParagraph"/>
        <w:numPr>
          <w:ilvl w:val="0"/>
          <w:numId w:val="19"/>
        </w:numPr>
        <w:spacing w:after="0"/>
        <w:jc w:val="both"/>
        <w:rPr>
          <w:rFonts w:ascii="Nunito" w:hAnsi="Nunito"/>
          <w:sz w:val="22"/>
          <w:szCs w:val="22"/>
          <w:u w:val="single"/>
        </w:rPr>
      </w:pPr>
      <w:r w:rsidRPr="00FB0D65">
        <w:rPr>
          <w:rFonts w:ascii="Nunito" w:hAnsi="Nunito"/>
          <w:sz w:val="22"/>
          <w:szCs w:val="22"/>
          <w:u w:val="single"/>
        </w:rPr>
        <w:t>Ecosistemas estratégicos:</w:t>
      </w:r>
    </w:p>
    <w:p w14:paraId="355C8B07" w14:textId="77777777" w:rsidR="002431CC" w:rsidRPr="00FB0D65" w:rsidRDefault="002431CC" w:rsidP="00FB0D65">
      <w:pPr>
        <w:pStyle w:val="ListParagraph"/>
        <w:numPr>
          <w:ilvl w:val="2"/>
          <w:numId w:val="18"/>
        </w:numPr>
        <w:spacing w:after="0"/>
        <w:ind w:left="709" w:hanging="283"/>
        <w:jc w:val="both"/>
        <w:rPr>
          <w:rFonts w:ascii="Nunito" w:hAnsi="Nunito"/>
          <w:sz w:val="22"/>
          <w:szCs w:val="22"/>
        </w:rPr>
      </w:pPr>
      <w:r w:rsidRPr="00FB0D65">
        <w:rPr>
          <w:rFonts w:ascii="Nunito" w:hAnsi="Nunito"/>
          <w:sz w:val="22"/>
          <w:szCs w:val="22"/>
        </w:rPr>
        <w:t>Bosque seco tropical. A lo largo del área de estudio, se evidencian relictos de bosque seco tropical, en los tres (3) departamentos, con mayor extensión en el Cauca.</w:t>
      </w:r>
    </w:p>
    <w:p w14:paraId="3A4E5B0B" w14:textId="77777777" w:rsidR="002431CC" w:rsidRPr="00FB0D65" w:rsidRDefault="002431CC" w:rsidP="00FB0D65">
      <w:pPr>
        <w:pStyle w:val="ListParagraph"/>
        <w:numPr>
          <w:ilvl w:val="2"/>
          <w:numId w:val="18"/>
        </w:numPr>
        <w:spacing w:after="0"/>
        <w:ind w:left="709" w:hanging="283"/>
        <w:jc w:val="both"/>
        <w:rPr>
          <w:rFonts w:ascii="Nunito" w:hAnsi="Nunito"/>
          <w:sz w:val="22"/>
          <w:szCs w:val="22"/>
        </w:rPr>
      </w:pPr>
      <w:r w:rsidRPr="00FB0D65">
        <w:rPr>
          <w:rFonts w:ascii="Nunito" w:hAnsi="Nunito"/>
          <w:sz w:val="22"/>
          <w:szCs w:val="22"/>
        </w:rPr>
        <w:t>Humedales. Con relación a este ecosistema, hay presencia en el departamento de Nariño, donde se encuentra la Laguna de la Cocha.</w:t>
      </w:r>
    </w:p>
    <w:p w14:paraId="6B07841E" w14:textId="77777777" w:rsidR="002431CC" w:rsidRPr="00FB0D65" w:rsidRDefault="002431CC" w:rsidP="00FB0D65">
      <w:pPr>
        <w:pStyle w:val="ListParagraph"/>
        <w:numPr>
          <w:ilvl w:val="2"/>
          <w:numId w:val="18"/>
        </w:numPr>
        <w:spacing w:after="0"/>
        <w:ind w:left="709" w:hanging="283"/>
        <w:jc w:val="both"/>
        <w:rPr>
          <w:rFonts w:ascii="Nunito" w:hAnsi="Nunito"/>
          <w:sz w:val="22"/>
          <w:szCs w:val="22"/>
        </w:rPr>
      </w:pPr>
      <w:r w:rsidRPr="00FB0D65">
        <w:rPr>
          <w:rFonts w:ascii="Nunito" w:hAnsi="Nunito"/>
          <w:sz w:val="22"/>
          <w:szCs w:val="22"/>
        </w:rPr>
        <w:t xml:space="preserve">Áreas importantes para la conservación de aves - </w:t>
      </w:r>
      <w:proofErr w:type="spellStart"/>
      <w:r w:rsidRPr="00FB0D65">
        <w:rPr>
          <w:rFonts w:ascii="Nunito" w:hAnsi="Nunito"/>
          <w:sz w:val="22"/>
          <w:szCs w:val="22"/>
        </w:rPr>
        <w:t>AICA's</w:t>
      </w:r>
      <w:proofErr w:type="spellEnd"/>
      <w:r w:rsidRPr="00FB0D65">
        <w:rPr>
          <w:rFonts w:ascii="Nunito" w:hAnsi="Nunito"/>
          <w:sz w:val="22"/>
          <w:szCs w:val="22"/>
        </w:rPr>
        <w:t xml:space="preserve">. Dentro del área de estudio, se encuentran varias </w:t>
      </w:r>
      <w:proofErr w:type="spellStart"/>
      <w:r w:rsidRPr="00FB0D65">
        <w:rPr>
          <w:rFonts w:ascii="Nunito" w:hAnsi="Nunito"/>
          <w:sz w:val="22"/>
          <w:szCs w:val="22"/>
        </w:rPr>
        <w:t>AICA's</w:t>
      </w:r>
      <w:proofErr w:type="spellEnd"/>
      <w:r w:rsidRPr="00FB0D65">
        <w:rPr>
          <w:rFonts w:ascii="Nunito" w:hAnsi="Nunito"/>
          <w:sz w:val="22"/>
          <w:szCs w:val="22"/>
        </w:rPr>
        <w:t xml:space="preserve">, distribuidas en los tres (3) departamento, presentándose en mayor cantidad en el departamento del Cauca. </w:t>
      </w:r>
    </w:p>
    <w:p w14:paraId="1A646BE9" w14:textId="77777777" w:rsidR="002431CC" w:rsidRPr="00FB0D65" w:rsidRDefault="002431CC" w:rsidP="00FB0D65">
      <w:pPr>
        <w:pStyle w:val="ListParagraph"/>
        <w:numPr>
          <w:ilvl w:val="2"/>
          <w:numId w:val="18"/>
        </w:numPr>
        <w:spacing w:after="0"/>
        <w:ind w:left="709" w:hanging="283"/>
        <w:jc w:val="both"/>
        <w:rPr>
          <w:rFonts w:ascii="Nunito" w:hAnsi="Nunito"/>
          <w:sz w:val="22"/>
          <w:szCs w:val="22"/>
        </w:rPr>
      </w:pPr>
      <w:r w:rsidRPr="00FB0D65">
        <w:rPr>
          <w:rFonts w:ascii="Nunito" w:hAnsi="Nunito"/>
          <w:sz w:val="22"/>
          <w:szCs w:val="22"/>
        </w:rPr>
        <w:t>Complejo de páramos. En el área de estudio hay ocho (8) complejos de páramo, distribuidos en los tres departamentos.</w:t>
      </w:r>
    </w:p>
    <w:p w14:paraId="198C8A9C" w14:textId="77777777" w:rsidR="002431CC" w:rsidRPr="00FB0D65" w:rsidRDefault="002431CC" w:rsidP="00FB0D65">
      <w:pPr>
        <w:pStyle w:val="ListParagraph"/>
        <w:spacing w:after="0"/>
        <w:ind w:left="1080"/>
        <w:rPr>
          <w:rFonts w:ascii="Nunito" w:hAnsi="Nunito"/>
          <w:sz w:val="22"/>
          <w:szCs w:val="22"/>
        </w:rPr>
      </w:pPr>
    </w:p>
    <w:p w14:paraId="3FAE48A8" w14:textId="77777777" w:rsidR="002431CC" w:rsidRPr="00FB0D65" w:rsidRDefault="002431CC" w:rsidP="00FB0D65">
      <w:pPr>
        <w:pStyle w:val="ListParagraph"/>
        <w:numPr>
          <w:ilvl w:val="0"/>
          <w:numId w:val="19"/>
        </w:numPr>
        <w:spacing w:after="0"/>
        <w:jc w:val="both"/>
        <w:rPr>
          <w:rFonts w:ascii="Nunito" w:hAnsi="Nunito"/>
          <w:sz w:val="22"/>
          <w:szCs w:val="22"/>
        </w:rPr>
      </w:pPr>
      <w:r w:rsidRPr="00FB0D65">
        <w:rPr>
          <w:rFonts w:ascii="Nunito" w:hAnsi="Nunito"/>
          <w:sz w:val="22"/>
          <w:szCs w:val="22"/>
          <w:u w:val="single"/>
        </w:rPr>
        <w:lastRenderedPageBreak/>
        <w:t xml:space="preserve">Áreas de reserva forestal ley 2da de 1959: </w:t>
      </w:r>
      <w:r w:rsidRPr="00FB0D65">
        <w:rPr>
          <w:rFonts w:ascii="Nunito" w:hAnsi="Nunito"/>
          <w:sz w:val="22"/>
          <w:szCs w:val="22"/>
        </w:rPr>
        <w:t>En el área de estudio se reportan áreas de reserva forestal según Ley 2da de 1959.</w:t>
      </w:r>
    </w:p>
    <w:p w14:paraId="1C262189" w14:textId="77777777" w:rsidR="002431CC" w:rsidRPr="00FB0D65" w:rsidRDefault="002431CC" w:rsidP="00FB0D65">
      <w:pPr>
        <w:spacing w:after="0"/>
        <w:rPr>
          <w:rFonts w:ascii="Nunito" w:hAnsi="Nunito"/>
          <w:sz w:val="22"/>
          <w:szCs w:val="22"/>
        </w:rPr>
      </w:pPr>
    </w:p>
    <w:p w14:paraId="7DE149B3" w14:textId="77777777" w:rsidR="002431CC" w:rsidRPr="00FB0D65" w:rsidRDefault="002431CC" w:rsidP="00FB0D65">
      <w:pPr>
        <w:pStyle w:val="ListParagraph"/>
        <w:numPr>
          <w:ilvl w:val="0"/>
          <w:numId w:val="19"/>
        </w:numPr>
        <w:spacing w:after="0"/>
        <w:jc w:val="both"/>
        <w:rPr>
          <w:rFonts w:ascii="Nunito" w:hAnsi="Nunito"/>
          <w:sz w:val="22"/>
          <w:szCs w:val="22"/>
        </w:rPr>
      </w:pPr>
      <w:r w:rsidRPr="00FB0D65">
        <w:rPr>
          <w:rFonts w:ascii="Nunito" w:hAnsi="Nunito"/>
          <w:sz w:val="22"/>
          <w:szCs w:val="22"/>
          <w:u w:val="single"/>
        </w:rPr>
        <w:t xml:space="preserve">Comunidades y territorios étnicos: </w:t>
      </w:r>
      <w:r w:rsidRPr="00FB0D65">
        <w:rPr>
          <w:rFonts w:ascii="Nunito" w:hAnsi="Nunito"/>
          <w:sz w:val="22"/>
          <w:szCs w:val="22"/>
        </w:rPr>
        <w:t>en el área de estudio con relación a grupos étnicos, predominan las Negritudes, seguido de las comunidades Indígenas y en menor representatividad se encuentran los demás grupos étnicos (Raizales, Palenqueros y ROM).</w:t>
      </w:r>
    </w:p>
    <w:p w14:paraId="46D55C6D" w14:textId="77777777" w:rsidR="002431CC" w:rsidRPr="00FB0D65" w:rsidRDefault="002431CC" w:rsidP="00FB0D65">
      <w:pPr>
        <w:pStyle w:val="ListParagraph"/>
        <w:spacing w:after="0"/>
        <w:rPr>
          <w:rFonts w:ascii="Nunito" w:hAnsi="Nunito"/>
          <w:sz w:val="22"/>
          <w:szCs w:val="22"/>
        </w:rPr>
      </w:pPr>
    </w:p>
    <w:p w14:paraId="024799F1" w14:textId="77777777" w:rsidR="002431CC" w:rsidRPr="00FB0D65" w:rsidRDefault="002431CC" w:rsidP="00FB0D65">
      <w:pPr>
        <w:pStyle w:val="ListParagraph"/>
        <w:numPr>
          <w:ilvl w:val="0"/>
          <w:numId w:val="19"/>
        </w:numPr>
        <w:spacing w:after="0"/>
        <w:jc w:val="both"/>
        <w:rPr>
          <w:rFonts w:ascii="Nunito" w:hAnsi="Nunito"/>
          <w:sz w:val="22"/>
          <w:szCs w:val="22"/>
        </w:rPr>
      </w:pPr>
      <w:r w:rsidRPr="00FB0D65">
        <w:rPr>
          <w:rFonts w:ascii="Nunito" w:hAnsi="Nunito"/>
          <w:sz w:val="22"/>
          <w:szCs w:val="22"/>
          <w:u w:val="single"/>
        </w:rPr>
        <w:t xml:space="preserve">Solicitudes de restitución de tierra: </w:t>
      </w:r>
      <w:r w:rsidRPr="00FB0D65">
        <w:rPr>
          <w:rFonts w:ascii="Nunito" w:hAnsi="Nunito"/>
          <w:sz w:val="22"/>
          <w:szCs w:val="22"/>
        </w:rPr>
        <w:t>en todos los departamentos objeto de estudio, se encuentran varias solicitudes de restitución de tierras en proceso.</w:t>
      </w:r>
    </w:p>
    <w:p w14:paraId="0FE96BF3" w14:textId="77777777" w:rsidR="002431CC" w:rsidRPr="00FB0D65" w:rsidRDefault="002431CC" w:rsidP="00FB0D65">
      <w:pPr>
        <w:spacing w:after="0"/>
        <w:rPr>
          <w:rFonts w:ascii="Nunito" w:hAnsi="Nunito"/>
          <w:sz w:val="22"/>
          <w:szCs w:val="22"/>
        </w:rPr>
      </w:pPr>
      <w:r w:rsidRPr="00FB0D65">
        <w:rPr>
          <w:rFonts w:ascii="Nunito" w:hAnsi="Nunito"/>
          <w:sz w:val="22"/>
          <w:szCs w:val="22"/>
        </w:rPr>
        <w:tab/>
      </w:r>
    </w:p>
    <w:p w14:paraId="08DF0201" w14:textId="77777777" w:rsidR="002431CC" w:rsidRPr="00FB0D65" w:rsidRDefault="002431CC" w:rsidP="00FB0D65">
      <w:pPr>
        <w:pStyle w:val="ListParagraph"/>
        <w:numPr>
          <w:ilvl w:val="0"/>
          <w:numId w:val="19"/>
        </w:numPr>
        <w:spacing w:after="0"/>
        <w:jc w:val="both"/>
        <w:rPr>
          <w:rFonts w:ascii="Nunito" w:hAnsi="Nunito"/>
          <w:sz w:val="22"/>
          <w:szCs w:val="22"/>
        </w:rPr>
      </w:pPr>
      <w:bookmarkStart w:id="4" w:name="_Toc101684334"/>
      <w:r w:rsidRPr="00FB0D65">
        <w:rPr>
          <w:rFonts w:ascii="Nunito" w:hAnsi="Nunito"/>
          <w:sz w:val="22"/>
          <w:szCs w:val="22"/>
          <w:u w:val="single"/>
        </w:rPr>
        <w:t>Áreas Arqueológicas Protegidas</w:t>
      </w:r>
      <w:bookmarkEnd w:id="4"/>
      <w:r w:rsidRPr="00FB0D65">
        <w:rPr>
          <w:rFonts w:ascii="Nunito" w:hAnsi="Nunito"/>
          <w:sz w:val="22"/>
          <w:szCs w:val="22"/>
        </w:rPr>
        <w:t>. Dentro del área de estudio, solo en el departamento de Nariño, se identificó un área arqueológica protegida.</w:t>
      </w:r>
    </w:p>
    <w:p w14:paraId="6E5C97BC" w14:textId="77777777" w:rsidR="002431CC" w:rsidRPr="00FB0D65" w:rsidRDefault="002431CC" w:rsidP="00FB0D65">
      <w:pPr>
        <w:pStyle w:val="ListParagraph"/>
        <w:spacing w:after="0"/>
        <w:rPr>
          <w:rFonts w:ascii="Nunito" w:hAnsi="Nunito"/>
          <w:sz w:val="22"/>
          <w:szCs w:val="22"/>
        </w:rPr>
      </w:pPr>
    </w:p>
    <w:p w14:paraId="7135EA0D" w14:textId="586F7754" w:rsidR="002431CC" w:rsidRPr="00FB0D65" w:rsidRDefault="002431CC" w:rsidP="00FB0D65">
      <w:pPr>
        <w:pStyle w:val="ListParagraph"/>
        <w:numPr>
          <w:ilvl w:val="0"/>
          <w:numId w:val="19"/>
        </w:numPr>
        <w:spacing w:after="0"/>
        <w:jc w:val="both"/>
        <w:rPr>
          <w:rFonts w:ascii="Nunito" w:hAnsi="Nunito"/>
          <w:sz w:val="22"/>
          <w:szCs w:val="22"/>
        </w:rPr>
      </w:pPr>
      <w:bookmarkStart w:id="5" w:name="_Toc101684336"/>
      <w:r w:rsidRPr="00FB0D65">
        <w:rPr>
          <w:rFonts w:ascii="Nunito" w:hAnsi="Nunito"/>
          <w:sz w:val="22"/>
          <w:szCs w:val="22"/>
          <w:u w:val="single"/>
        </w:rPr>
        <w:t>Áreas con potencial arqueológico</w:t>
      </w:r>
      <w:bookmarkEnd w:id="5"/>
      <w:r w:rsidRPr="00FB0D65">
        <w:rPr>
          <w:rFonts w:ascii="Nunito" w:hAnsi="Nunito"/>
          <w:sz w:val="22"/>
          <w:szCs w:val="22"/>
        </w:rPr>
        <w:t xml:space="preserve">. De acuerdo con la zonificación del ICANH, el nivel más alto de potencial arqueológico se registra en los departamentos del Valle del Cauca y Nariño, mientras que el departamento del </w:t>
      </w:r>
      <w:r w:rsidR="00EF1E33" w:rsidRPr="00EF1E33">
        <w:rPr>
          <w:rFonts w:ascii="Nunito" w:hAnsi="Nunito"/>
          <w:sz w:val="22"/>
          <w:szCs w:val="22"/>
        </w:rPr>
        <w:t>Cauca</w:t>
      </w:r>
      <w:r w:rsidRPr="00FB0D65">
        <w:rPr>
          <w:rFonts w:ascii="Nunito" w:hAnsi="Nunito"/>
          <w:sz w:val="22"/>
          <w:szCs w:val="22"/>
        </w:rPr>
        <w:t xml:space="preserve"> presenta un potencial medio arqueológico. </w:t>
      </w:r>
    </w:p>
    <w:p w14:paraId="3C60DE26" w14:textId="77777777" w:rsidR="002431CC" w:rsidRPr="00FB0D65" w:rsidRDefault="002431CC" w:rsidP="00FB0D65">
      <w:pPr>
        <w:pStyle w:val="ListParagraph"/>
        <w:spacing w:after="0"/>
        <w:rPr>
          <w:rFonts w:ascii="Nunito" w:hAnsi="Nunito"/>
          <w:sz w:val="22"/>
          <w:szCs w:val="22"/>
        </w:rPr>
      </w:pPr>
    </w:p>
    <w:p w14:paraId="6B372128" w14:textId="77777777" w:rsidR="002431CC" w:rsidRPr="00FB0D65" w:rsidRDefault="002431CC" w:rsidP="00FB0D65">
      <w:pPr>
        <w:pStyle w:val="ListParagraph"/>
        <w:numPr>
          <w:ilvl w:val="0"/>
          <w:numId w:val="19"/>
        </w:numPr>
        <w:spacing w:after="0"/>
        <w:jc w:val="both"/>
        <w:rPr>
          <w:rFonts w:ascii="Nunito" w:hAnsi="Nunito"/>
          <w:sz w:val="22"/>
          <w:szCs w:val="22"/>
        </w:rPr>
      </w:pPr>
      <w:r w:rsidRPr="00FB0D65">
        <w:rPr>
          <w:rFonts w:ascii="Nunito" w:hAnsi="Nunito"/>
          <w:sz w:val="22"/>
          <w:szCs w:val="22"/>
          <w:u w:val="single"/>
        </w:rPr>
        <w:t>Sectorial</w:t>
      </w:r>
      <w:r w:rsidRPr="00FB0D65">
        <w:rPr>
          <w:rFonts w:ascii="Nunito" w:hAnsi="Nunito"/>
          <w:sz w:val="22"/>
          <w:szCs w:val="22"/>
        </w:rPr>
        <w:t>. Dentro del área de estudio, se identificó la siguiente infraestructura del sector minero energético (minería, hidrocarburos y energía).</w:t>
      </w:r>
    </w:p>
    <w:p w14:paraId="3CFFF511" w14:textId="77777777" w:rsidR="002431CC" w:rsidRPr="00FB0D65" w:rsidRDefault="002431CC" w:rsidP="00FB0D65">
      <w:pPr>
        <w:pStyle w:val="ListParagraph"/>
        <w:spacing w:after="0"/>
        <w:rPr>
          <w:rFonts w:ascii="Nunito" w:hAnsi="Nunito"/>
          <w:sz w:val="22"/>
          <w:szCs w:val="22"/>
        </w:rPr>
      </w:pPr>
    </w:p>
    <w:p w14:paraId="426958A1" w14:textId="77777777" w:rsidR="002431CC" w:rsidRPr="00FB0D65" w:rsidRDefault="002431CC" w:rsidP="00FB0D65">
      <w:pPr>
        <w:pStyle w:val="ListParagraph"/>
        <w:numPr>
          <w:ilvl w:val="2"/>
          <w:numId w:val="18"/>
        </w:numPr>
        <w:spacing w:after="0"/>
        <w:ind w:left="709" w:hanging="283"/>
        <w:jc w:val="both"/>
        <w:rPr>
          <w:rFonts w:ascii="Nunito" w:hAnsi="Nunito"/>
          <w:sz w:val="22"/>
          <w:szCs w:val="22"/>
        </w:rPr>
      </w:pPr>
      <w:r w:rsidRPr="00FB0D65">
        <w:rPr>
          <w:rFonts w:ascii="Nunito" w:hAnsi="Nunito"/>
          <w:sz w:val="22"/>
          <w:szCs w:val="22"/>
        </w:rPr>
        <w:t>Zonas con potencial carbonífero en el Cauca y el Valle del Cauca.</w:t>
      </w:r>
    </w:p>
    <w:p w14:paraId="5E79EEF4" w14:textId="77777777" w:rsidR="002431CC" w:rsidRPr="00FB0D65" w:rsidRDefault="002431CC" w:rsidP="00FB0D65">
      <w:pPr>
        <w:pStyle w:val="ListParagraph"/>
        <w:numPr>
          <w:ilvl w:val="2"/>
          <w:numId w:val="18"/>
        </w:numPr>
        <w:spacing w:after="0"/>
        <w:ind w:left="709" w:hanging="283"/>
        <w:jc w:val="both"/>
        <w:rPr>
          <w:rFonts w:ascii="Nunito" w:hAnsi="Nunito"/>
          <w:sz w:val="22"/>
          <w:szCs w:val="22"/>
        </w:rPr>
      </w:pPr>
      <w:proofErr w:type="gramStart"/>
      <w:r w:rsidRPr="00FB0D65">
        <w:rPr>
          <w:rFonts w:ascii="Nunito" w:hAnsi="Nunito"/>
          <w:sz w:val="22"/>
          <w:szCs w:val="22"/>
        </w:rPr>
        <w:t>Registro mineros</w:t>
      </w:r>
      <w:proofErr w:type="gramEnd"/>
      <w:r w:rsidRPr="00FB0D65">
        <w:rPr>
          <w:rFonts w:ascii="Nunito" w:hAnsi="Nunito"/>
          <w:sz w:val="22"/>
          <w:szCs w:val="22"/>
        </w:rPr>
        <w:t xml:space="preserve"> en los 3 departamentos.</w:t>
      </w:r>
    </w:p>
    <w:p w14:paraId="06D0F803" w14:textId="77777777" w:rsidR="002431CC" w:rsidRPr="00FB0D65" w:rsidRDefault="002431CC" w:rsidP="00FB0D65">
      <w:pPr>
        <w:pStyle w:val="ListParagraph"/>
        <w:numPr>
          <w:ilvl w:val="2"/>
          <w:numId w:val="18"/>
        </w:numPr>
        <w:spacing w:after="0"/>
        <w:ind w:left="709" w:hanging="283"/>
        <w:jc w:val="both"/>
        <w:rPr>
          <w:rFonts w:ascii="Nunito" w:hAnsi="Nunito"/>
          <w:sz w:val="22"/>
          <w:szCs w:val="22"/>
        </w:rPr>
      </w:pPr>
      <w:r w:rsidRPr="00FB0D65">
        <w:rPr>
          <w:rFonts w:ascii="Nunito" w:hAnsi="Nunito"/>
          <w:sz w:val="22"/>
          <w:szCs w:val="22"/>
        </w:rPr>
        <w:t>Distritos mineros en Cauca y Valle del Cauca.</w:t>
      </w:r>
    </w:p>
    <w:p w14:paraId="19C737C0" w14:textId="77777777" w:rsidR="002431CC" w:rsidRPr="00FB0D65" w:rsidRDefault="002431CC" w:rsidP="00FB0D65">
      <w:pPr>
        <w:pStyle w:val="ListParagraph"/>
        <w:numPr>
          <w:ilvl w:val="2"/>
          <w:numId w:val="18"/>
        </w:numPr>
        <w:spacing w:after="0"/>
        <w:ind w:left="709" w:hanging="283"/>
        <w:jc w:val="both"/>
        <w:rPr>
          <w:rFonts w:ascii="Nunito" w:hAnsi="Nunito"/>
          <w:sz w:val="22"/>
          <w:szCs w:val="22"/>
        </w:rPr>
      </w:pPr>
      <w:r w:rsidRPr="00FB0D65">
        <w:rPr>
          <w:rFonts w:ascii="Nunito" w:hAnsi="Nunito"/>
          <w:sz w:val="22"/>
          <w:szCs w:val="22"/>
        </w:rPr>
        <w:t>Solicitudes de área de reserva especial en Cauca y Valle del Cauca.</w:t>
      </w:r>
    </w:p>
    <w:p w14:paraId="0AB27E1F" w14:textId="77777777" w:rsidR="002431CC" w:rsidRPr="00FB0D65" w:rsidRDefault="002431CC" w:rsidP="00FB0D65">
      <w:pPr>
        <w:pStyle w:val="ListParagraph"/>
        <w:numPr>
          <w:ilvl w:val="2"/>
          <w:numId w:val="18"/>
        </w:numPr>
        <w:spacing w:after="0"/>
        <w:ind w:left="709" w:hanging="283"/>
        <w:jc w:val="both"/>
        <w:rPr>
          <w:rFonts w:ascii="Nunito" w:hAnsi="Nunito"/>
          <w:sz w:val="22"/>
          <w:szCs w:val="22"/>
        </w:rPr>
      </w:pPr>
      <w:r w:rsidRPr="00FB0D65">
        <w:rPr>
          <w:rFonts w:ascii="Nunito" w:hAnsi="Nunito"/>
          <w:sz w:val="22"/>
          <w:szCs w:val="22"/>
        </w:rPr>
        <w:t>Títulos mineros en los 3 departamentos.</w:t>
      </w:r>
    </w:p>
    <w:p w14:paraId="7C9D15AB" w14:textId="77777777" w:rsidR="002431CC" w:rsidRPr="00FB0D65" w:rsidRDefault="002431CC" w:rsidP="00FB0D65">
      <w:pPr>
        <w:pStyle w:val="ListParagraph"/>
        <w:numPr>
          <w:ilvl w:val="2"/>
          <w:numId w:val="18"/>
        </w:numPr>
        <w:spacing w:after="0"/>
        <w:ind w:left="709" w:hanging="283"/>
        <w:jc w:val="both"/>
        <w:rPr>
          <w:rFonts w:ascii="Nunito" w:hAnsi="Nunito"/>
          <w:sz w:val="22"/>
          <w:szCs w:val="22"/>
        </w:rPr>
      </w:pPr>
      <w:r w:rsidRPr="00FB0D65">
        <w:rPr>
          <w:rFonts w:ascii="Nunito" w:hAnsi="Nunito"/>
          <w:sz w:val="22"/>
          <w:szCs w:val="22"/>
        </w:rPr>
        <w:t>Poliducto de SNT.</w:t>
      </w:r>
    </w:p>
    <w:p w14:paraId="315539FB" w14:textId="77777777" w:rsidR="002431CC" w:rsidRPr="00FB0D65" w:rsidRDefault="002431CC" w:rsidP="00FB0D65">
      <w:pPr>
        <w:pStyle w:val="ListParagraph"/>
        <w:numPr>
          <w:ilvl w:val="2"/>
          <w:numId w:val="18"/>
        </w:numPr>
        <w:spacing w:after="0"/>
        <w:ind w:left="709" w:hanging="283"/>
        <w:jc w:val="both"/>
        <w:rPr>
          <w:rFonts w:ascii="Nunito" w:hAnsi="Nunito"/>
          <w:sz w:val="22"/>
          <w:szCs w:val="22"/>
        </w:rPr>
      </w:pPr>
      <w:r w:rsidRPr="00FB0D65">
        <w:rPr>
          <w:rFonts w:ascii="Nunito" w:hAnsi="Nunito"/>
          <w:sz w:val="22"/>
          <w:szCs w:val="22"/>
        </w:rPr>
        <w:t>Gasoducto del SNT.</w:t>
      </w:r>
    </w:p>
    <w:p w14:paraId="2D9E2B93" w14:textId="77777777" w:rsidR="002431CC" w:rsidRPr="00FB0D65" w:rsidRDefault="002431CC" w:rsidP="00FB0D65">
      <w:pPr>
        <w:pStyle w:val="ListParagraph"/>
        <w:numPr>
          <w:ilvl w:val="2"/>
          <w:numId w:val="18"/>
        </w:numPr>
        <w:spacing w:after="0"/>
        <w:ind w:left="709" w:hanging="283"/>
        <w:jc w:val="both"/>
        <w:rPr>
          <w:rFonts w:ascii="Nunito" w:hAnsi="Nunito"/>
          <w:sz w:val="22"/>
          <w:szCs w:val="22"/>
        </w:rPr>
      </w:pPr>
      <w:r w:rsidRPr="00FB0D65">
        <w:rPr>
          <w:rFonts w:ascii="Nunito" w:hAnsi="Nunito"/>
          <w:sz w:val="22"/>
          <w:szCs w:val="22"/>
        </w:rPr>
        <w:t>Pozo de exploración y producción.</w:t>
      </w:r>
    </w:p>
    <w:p w14:paraId="27FA74A1" w14:textId="77777777" w:rsidR="002431CC" w:rsidRPr="00FB0D65" w:rsidRDefault="002431CC" w:rsidP="00FB0D65">
      <w:pPr>
        <w:pStyle w:val="ListParagraph"/>
        <w:numPr>
          <w:ilvl w:val="2"/>
          <w:numId w:val="18"/>
        </w:numPr>
        <w:spacing w:after="0"/>
        <w:ind w:left="709" w:hanging="283"/>
        <w:jc w:val="both"/>
        <w:rPr>
          <w:rFonts w:ascii="Nunito" w:hAnsi="Nunito"/>
          <w:sz w:val="22"/>
          <w:szCs w:val="22"/>
        </w:rPr>
      </w:pPr>
      <w:r w:rsidRPr="00FB0D65">
        <w:rPr>
          <w:rFonts w:ascii="Nunito" w:hAnsi="Nunito"/>
          <w:sz w:val="22"/>
          <w:szCs w:val="22"/>
        </w:rPr>
        <w:t>Líneas de alta tensión.</w:t>
      </w:r>
    </w:p>
    <w:p w14:paraId="4E59103E" w14:textId="77777777" w:rsidR="002431CC" w:rsidRPr="00FB0D65" w:rsidRDefault="002431CC" w:rsidP="00FB0D65">
      <w:pPr>
        <w:pStyle w:val="ListParagraph"/>
        <w:numPr>
          <w:ilvl w:val="2"/>
          <w:numId w:val="18"/>
        </w:numPr>
        <w:spacing w:after="0"/>
        <w:ind w:left="709" w:hanging="283"/>
        <w:jc w:val="both"/>
        <w:rPr>
          <w:rFonts w:ascii="Nunito" w:hAnsi="Nunito"/>
          <w:sz w:val="22"/>
          <w:szCs w:val="22"/>
        </w:rPr>
      </w:pPr>
      <w:r w:rsidRPr="00FB0D65">
        <w:rPr>
          <w:rFonts w:ascii="Nunito" w:hAnsi="Nunito"/>
          <w:sz w:val="22"/>
          <w:szCs w:val="22"/>
        </w:rPr>
        <w:t>Subestaciones.</w:t>
      </w:r>
    </w:p>
    <w:p w14:paraId="49D0E680" w14:textId="77777777" w:rsidR="002431CC" w:rsidRPr="00FB0D65" w:rsidRDefault="002431CC" w:rsidP="00FB0D65">
      <w:pPr>
        <w:pStyle w:val="ListParagraph"/>
        <w:numPr>
          <w:ilvl w:val="2"/>
          <w:numId w:val="18"/>
        </w:numPr>
        <w:spacing w:after="0"/>
        <w:ind w:left="709" w:hanging="283"/>
        <w:jc w:val="both"/>
        <w:rPr>
          <w:rFonts w:ascii="Nunito" w:hAnsi="Nunito"/>
          <w:sz w:val="22"/>
          <w:szCs w:val="22"/>
        </w:rPr>
      </w:pPr>
      <w:r w:rsidRPr="00FB0D65">
        <w:rPr>
          <w:rFonts w:ascii="Nunito" w:hAnsi="Nunito"/>
          <w:sz w:val="22"/>
          <w:szCs w:val="22"/>
        </w:rPr>
        <w:t>Plantas de generación de energía eléctrica.</w:t>
      </w:r>
    </w:p>
    <w:p w14:paraId="6E279D61" w14:textId="77777777" w:rsidR="002431CC" w:rsidRDefault="002431CC">
      <w:pPr>
        <w:spacing w:after="0"/>
        <w:rPr>
          <w:rFonts w:ascii="Nunito" w:hAnsi="Nunito"/>
          <w:sz w:val="22"/>
          <w:szCs w:val="22"/>
        </w:rPr>
      </w:pPr>
    </w:p>
    <w:p w14:paraId="43DDBA2D" w14:textId="77777777" w:rsidR="00FB0D65" w:rsidRPr="00A5621C" w:rsidRDefault="00FB0D65" w:rsidP="00A5621C">
      <w:pPr>
        <w:spacing w:after="0"/>
        <w:rPr>
          <w:rFonts w:ascii="Nunito" w:hAnsi="Nunito"/>
          <w:sz w:val="22"/>
          <w:szCs w:val="22"/>
        </w:rPr>
      </w:pPr>
    </w:p>
    <w:p w14:paraId="00CD8D20" w14:textId="77777777" w:rsidR="002431CC" w:rsidRPr="00A5621C" w:rsidRDefault="002431CC" w:rsidP="00A5621C">
      <w:pPr>
        <w:pStyle w:val="Heading2"/>
        <w:numPr>
          <w:ilvl w:val="0"/>
          <w:numId w:val="20"/>
        </w:numPr>
        <w:spacing w:before="0" w:after="0"/>
        <w:ind w:left="0" w:firstLine="0"/>
        <w:jc w:val="both"/>
        <w:rPr>
          <w:rFonts w:ascii="Nunito" w:hAnsi="Nunito"/>
          <w:b/>
          <w:bCs/>
          <w:color w:val="94C700"/>
          <w:sz w:val="28"/>
          <w:szCs w:val="28"/>
        </w:rPr>
      </w:pPr>
      <w:r w:rsidRPr="00A5621C">
        <w:rPr>
          <w:rFonts w:ascii="Nunito" w:hAnsi="Nunito"/>
          <w:b/>
          <w:bCs/>
          <w:color w:val="94C700"/>
          <w:sz w:val="28"/>
          <w:szCs w:val="28"/>
        </w:rPr>
        <w:lastRenderedPageBreak/>
        <w:t>Principales hallazgos del levantamiento de información primaria</w:t>
      </w:r>
    </w:p>
    <w:p w14:paraId="68ABB3E7" w14:textId="77777777" w:rsidR="002431CC" w:rsidRPr="00A5621C" w:rsidRDefault="002431CC" w:rsidP="00A5621C">
      <w:pPr>
        <w:pStyle w:val="ListParagraph"/>
        <w:spacing w:after="0"/>
        <w:ind w:left="1080"/>
        <w:rPr>
          <w:rFonts w:ascii="Nunito" w:hAnsi="Nunito"/>
          <w:sz w:val="22"/>
          <w:szCs w:val="22"/>
        </w:rPr>
      </w:pPr>
    </w:p>
    <w:p w14:paraId="1E21965D" w14:textId="3CA48BE6" w:rsidR="002431CC" w:rsidRPr="00A56589" w:rsidRDefault="002431CC" w:rsidP="00A56589">
      <w:pPr>
        <w:spacing w:after="0"/>
        <w:jc w:val="both"/>
        <w:rPr>
          <w:rFonts w:ascii="Nunito" w:hAnsi="Nunito"/>
          <w:sz w:val="22"/>
          <w:szCs w:val="22"/>
        </w:rPr>
      </w:pPr>
      <w:r w:rsidRPr="00A5621C">
        <w:rPr>
          <w:rFonts w:ascii="Nunito" w:hAnsi="Nunito"/>
          <w:sz w:val="22"/>
          <w:szCs w:val="22"/>
        </w:rPr>
        <w:t xml:space="preserve">Como resultado del </w:t>
      </w:r>
      <w:r w:rsidRPr="00A56589">
        <w:rPr>
          <w:rFonts w:ascii="Nunito" w:hAnsi="Nunito"/>
          <w:sz w:val="22"/>
          <w:szCs w:val="22"/>
        </w:rPr>
        <w:t xml:space="preserve">trabajo de campo realizado, se </w:t>
      </w:r>
      <w:r w:rsidR="00A56589">
        <w:rPr>
          <w:rFonts w:ascii="Nunito" w:hAnsi="Nunito"/>
          <w:sz w:val="22"/>
          <w:szCs w:val="22"/>
        </w:rPr>
        <w:t>destacan</w:t>
      </w:r>
      <w:r w:rsidR="00A56589" w:rsidRPr="00A56589">
        <w:rPr>
          <w:rFonts w:ascii="Nunito" w:hAnsi="Nunito"/>
          <w:sz w:val="22"/>
          <w:szCs w:val="22"/>
        </w:rPr>
        <w:t xml:space="preserve"> </w:t>
      </w:r>
      <w:r w:rsidRPr="00A56589">
        <w:rPr>
          <w:rFonts w:ascii="Nunito" w:hAnsi="Nunito"/>
          <w:sz w:val="22"/>
          <w:szCs w:val="22"/>
        </w:rPr>
        <w:t xml:space="preserve">los siguientes aspectos </w:t>
      </w:r>
      <w:proofErr w:type="gramStart"/>
      <w:r w:rsidR="00A56589">
        <w:rPr>
          <w:rFonts w:ascii="Nunito" w:hAnsi="Nunito"/>
          <w:sz w:val="22"/>
          <w:szCs w:val="22"/>
        </w:rPr>
        <w:t>a</w:t>
      </w:r>
      <w:proofErr w:type="gramEnd"/>
      <w:r w:rsidR="00A56589">
        <w:rPr>
          <w:rFonts w:ascii="Nunito" w:hAnsi="Nunito"/>
          <w:sz w:val="22"/>
          <w:szCs w:val="22"/>
        </w:rPr>
        <w:t xml:space="preserve"> tener en cuenta</w:t>
      </w:r>
      <w:r w:rsidRPr="00A56589">
        <w:rPr>
          <w:rFonts w:ascii="Nunito" w:hAnsi="Nunito"/>
          <w:sz w:val="22"/>
          <w:szCs w:val="22"/>
        </w:rPr>
        <w:t xml:space="preserve"> en el desarrollo del proyecto Poliducto Yumbo – Pasto. </w:t>
      </w:r>
    </w:p>
    <w:p w14:paraId="09922CE1" w14:textId="77777777" w:rsidR="002431CC" w:rsidRPr="00A56589" w:rsidRDefault="002431CC" w:rsidP="00A56589">
      <w:pPr>
        <w:spacing w:after="0"/>
        <w:jc w:val="both"/>
        <w:rPr>
          <w:rFonts w:ascii="Nunito" w:hAnsi="Nunito"/>
          <w:sz w:val="22"/>
          <w:szCs w:val="22"/>
        </w:rPr>
      </w:pPr>
    </w:p>
    <w:p w14:paraId="47D064F7" w14:textId="77777777" w:rsidR="002431CC" w:rsidRPr="00A56589" w:rsidRDefault="002431CC" w:rsidP="00A56589">
      <w:pPr>
        <w:pStyle w:val="ListParagraph"/>
        <w:numPr>
          <w:ilvl w:val="2"/>
          <w:numId w:val="18"/>
        </w:numPr>
        <w:spacing w:after="0"/>
        <w:ind w:left="709" w:hanging="283"/>
        <w:jc w:val="both"/>
        <w:rPr>
          <w:rFonts w:ascii="Nunito" w:hAnsi="Nunito"/>
          <w:sz w:val="22"/>
          <w:szCs w:val="22"/>
        </w:rPr>
      </w:pPr>
      <w:r w:rsidRPr="00A56589">
        <w:rPr>
          <w:rFonts w:ascii="Nunito" w:hAnsi="Nunito"/>
          <w:sz w:val="22"/>
          <w:szCs w:val="22"/>
        </w:rPr>
        <w:t xml:space="preserve">La Corporación Autónoma Regional del Valle del Cauca – CVC, cuenta con un </w:t>
      </w:r>
      <w:proofErr w:type="spellStart"/>
      <w:r w:rsidRPr="00A56589">
        <w:rPr>
          <w:rFonts w:ascii="Nunito" w:hAnsi="Nunito"/>
          <w:sz w:val="22"/>
          <w:szCs w:val="22"/>
        </w:rPr>
        <w:t>Geovisor</w:t>
      </w:r>
      <w:proofErr w:type="spellEnd"/>
      <w:r w:rsidRPr="00A56589">
        <w:rPr>
          <w:rFonts w:ascii="Nunito" w:hAnsi="Nunito"/>
          <w:sz w:val="22"/>
          <w:szCs w:val="22"/>
        </w:rPr>
        <w:t xml:space="preserve"> Avanzado (https://geo.cvc.gov.co) con datos geográficos abiertos y a escala detallada sobre diferentes variables ambientales importantes para la toma de decisiones en la planeación de su jurisdicción, además, de un visor ráster a base de aerofotografías con sensores remotos como </w:t>
      </w:r>
      <w:proofErr w:type="spellStart"/>
      <w:r w:rsidRPr="00A56589">
        <w:rPr>
          <w:rFonts w:ascii="Nunito" w:hAnsi="Nunito"/>
          <w:sz w:val="22"/>
          <w:szCs w:val="22"/>
        </w:rPr>
        <w:t>LiDAR</w:t>
      </w:r>
      <w:proofErr w:type="spellEnd"/>
      <w:r w:rsidRPr="00A56589">
        <w:rPr>
          <w:rFonts w:ascii="Nunito" w:hAnsi="Nunito"/>
          <w:sz w:val="22"/>
          <w:szCs w:val="22"/>
        </w:rPr>
        <w:t>, RADAR y Ópticos.</w:t>
      </w:r>
    </w:p>
    <w:p w14:paraId="20BE3E89" w14:textId="77777777" w:rsidR="002431CC" w:rsidRPr="00A56589" w:rsidRDefault="002431CC" w:rsidP="00A56589">
      <w:pPr>
        <w:spacing w:after="0"/>
        <w:jc w:val="both"/>
        <w:rPr>
          <w:rFonts w:ascii="Nunito" w:hAnsi="Nunito"/>
          <w:sz w:val="22"/>
          <w:szCs w:val="22"/>
        </w:rPr>
      </w:pPr>
      <w:r w:rsidRPr="00A56589">
        <w:rPr>
          <w:rFonts w:ascii="Nunito" w:hAnsi="Nunito"/>
          <w:sz w:val="22"/>
          <w:szCs w:val="22"/>
        </w:rPr>
        <w:t xml:space="preserve"> </w:t>
      </w:r>
    </w:p>
    <w:p w14:paraId="3D71C957" w14:textId="77777777" w:rsidR="002431CC" w:rsidRPr="00A56589" w:rsidRDefault="002431CC" w:rsidP="00A56589">
      <w:pPr>
        <w:pStyle w:val="ListParagraph"/>
        <w:numPr>
          <w:ilvl w:val="1"/>
          <w:numId w:val="14"/>
        </w:numPr>
        <w:spacing w:after="0"/>
        <w:ind w:left="709" w:hanging="283"/>
        <w:jc w:val="both"/>
        <w:rPr>
          <w:rFonts w:ascii="Nunito" w:hAnsi="Nunito"/>
          <w:sz w:val="22"/>
          <w:szCs w:val="22"/>
        </w:rPr>
      </w:pPr>
      <w:r w:rsidRPr="00A56589">
        <w:rPr>
          <w:rFonts w:ascii="Nunito" w:hAnsi="Nunito"/>
          <w:sz w:val="22"/>
          <w:szCs w:val="22"/>
        </w:rPr>
        <w:t xml:space="preserve">La Corporación Autónoma Regional del Cauca – CRC, informa que se encuentra adelantando los siguientes estudios, entre otros. </w:t>
      </w:r>
    </w:p>
    <w:p w14:paraId="5145D197" w14:textId="77777777" w:rsidR="002431CC" w:rsidRPr="00A56589" w:rsidRDefault="002431CC" w:rsidP="00A56589">
      <w:pPr>
        <w:numPr>
          <w:ilvl w:val="0"/>
          <w:numId w:val="14"/>
        </w:numPr>
        <w:spacing w:after="0"/>
        <w:ind w:left="993" w:hanging="219"/>
        <w:jc w:val="both"/>
        <w:rPr>
          <w:rFonts w:ascii="Nunito" w:hAnsi="Nunito"/>
          <w:sz w:val="22"/>
          <w:szCs w:val="22"/>
        </w:rPr>
      </w:pPr>
      <w:r w:rsidRPr="00A56589">
        <w:rPr>
          <w:rFonts w:ascii="Nunito" w:hAnsi="Nunito"/>
          <w:sz w:val="22"/>
          <w:szCs w:val="22"/>
        </w:rPr>
        <w:t>Humedal El Candil, sobre los municipios de Santander de Quilichao, Villa Rica y Caloto.</w:t>
      </w:r>
    </w:p>
    <w:p w14:paraId="7E867687" w14:textId="77777777" w:rsidR="002431CC" w:rsidRPr="00A56589" w:rsidRDefault="002431CC" w:rsidP="00A56589">
      <w:pPr>
        <w:numPr>
          <w:ilvl w:val="0"/>
          <w:numId w:val="14"/>
        </w:numPr>
        <w:spacing w:after="0"/>
        <w:ind w:left="993" w:hanging="219"/>
        <w:jc w:val="both"/>
        <w:rPr>
          <w:rFonts w:ascii="Nunito" w:hAnsi="Nunito"/>
          <w:sz w:val="22"/>
          <w:szCs w:val="22"/>
        </w:rPr>
      </w:pPr>
      <w:r w:rsidRPr="00A56589">
        <w:rPr>
          <w:rFonts w:ascii="Nunito" w:hAnsi="Nunito"/>
          <w:sz w:val="22"/>
          <w:szCs w:val="22"/>
        </w:rPr>
        <w:t>Identificación de sitios críticos, como:</w:t>
      </w:r>
    </w:p>
    <w:p w14:paraId="077E0FBC" w14:textId="77777777" w:rsidR="002431CC" w:rsidRPr="00A56589" w:rsidRDefault="002431CC" w:rsidP="00A56589">
      <w:pPr>
        <w:numPr>
          <w:ilvl w:val="1"/>
          <w:numId w:val="15"/>
        </w:numPr>
        <w:spacing w:after="0"/>
        <w:jc w:val="both"/>
        <w:rPr>
          <w:rFonts w:ascii="Nunito" w:hAnsi="Nunito"/>
          <w:sz w:val="22"/>
          <w:szCs w:val="22"/>
        </w:rPr>
      </w:pPr>
      <w:r w:rsidRPr="00A56589">
        <w:rPr>
          <w:rFonts w:ascii="Nunito" w:hAnsi="Nunito"/>
          <w:sz w:val="22"/>
          <w:szCs w:val="22"/>
        </w:rPr>
        <w:t>Alta susceptibilidad a Remoción en Masa.</w:t>
      </w:r>
    </w:p>
    <w:p w14:paraId="0A2E47FD" w14:textId="77777777" w:rsidR="002431CC" w:rsidRPr="00A56589" w:rsidRDefault="002431CC" w:rsidP="00A56589">
      <w:pPr>
        <w:numPr>
          <w:ilvl w:val="1"/>
          <w:numId w:val="15"/>
        </w:numPr>
        <w:spacing w:after="0"/>
        <w:jc w:val="both"/>
        <w:rPr>
          <w:rFonts w:ascii="Nunito" w:hAnsi="Nunito"/>
          <w:sz w:val="22"/>
          <w:szCs w:val="22"/>
        </w:rPr>
      </w:pPr>
      <w:r w:rsidRPr="00A56589">
        <w:rPr>
          <w:rFonts w:ascii="Nunito" w:hAnsi="Nunito"/>
          <w:sz w:val="22"/>
          <w:szCs w:val="22"/>
        </w:rPr>
        <w:t>Pendientes fuertemente inclinadas debido a Cerros Tutelares.</w:t>
      </w:r>
    </w:p>
    <w:p w14:paraId="2C8C5A3A" w14:textId="77777777" w:rsidR="002431CC" w:rsidRPr="00A56589" w:rsidRDefault="002431CC" w:rsidP="00A56589">
      <w:pPr>
        <w:numPr>
          <w:ilvl w:val="1"/>
          <w:numId w:val="15"/>
        </w:numPr>
        <w:spacing w:after="0"/>
        <w:jc w:val="both"/>
        <w:rPr>
          <w:rFonts w:ascii="Nunito" w:hAnsi="Nunito"/>
          <w:sz w:val="22"/>
          <w:szCs w:val="22"/>
        </w:rPr>
      </w:pPr>
      <w:r w:rsidRPr="00A56589">
        <w:rPr>
          <w:rFonts w:ascii="Nunito" w:hAnsi="Nunito"/>
          <w:sz w:val="22"/>
          <w:szCs w:val="22"/>
        </w:rPr>
        <w:t>Reservas Naturales y Área Naturales de la Sociedad Civil.</w:t>
      </w:r>
    </w:p>
    <w:p w14:paraId="1F6E2815" w14:textId="77777777" w:rsidR="002431CC" w:rsidRPr="00A56589" w:rsidRDefault="002431CC" w:rsidP="00A56589">
      <w:pPr>
        <w:numPr>
          <w:ilvl w:val="1"/>
          <w:numId w:val="15"/>
        </w:numPr>
        <w:spacing w:after="0"/>
        <w:jc w:val="both"/>
        <w:rPr>
          <w:rFonts w:ascii="Nunito" w:hAnsi="Nunito"/>
          <w:sz w:val="22"/>
          <w:szCs w:val="22"/>
        </w:rPr>
      </w:pPr>
      <w:r w:rsidRPr="00A56589">
        <w:rPr>
          <w:rFonts w:ascii="Nunito" w:hAnsi="Nunito"/>
          <w:sz w:val="22"/>
          <w:szCs w:val="22"/>
        </w:rPr>
        <w:t>Intersección con Urbanización de Popayán (</w:t>
      </w:r>
      <w:proofErr w:type="spellStart"/>
      <w:r w:rsidRPr="00A56589">
        <w:rPr>
          <w:rFonts w:ascii="Nunito" w:hAnsi="Nunito"/>
          <w:sz w:val="22"/>
          <w:szCs w:val="22"/>
        </w:rPr>
        <w:t>Calibio</w:t>
      </w:r>
      <w:proofErr w:type="spellEnd"/>
      <w:r w:rsidRPr="00A56589">
        <w:rPr>
          <w:rFonts w:ascii="Nunito" w:hAnsi="Nunito"/>
          <w:sz w:val="22"/>
          <w:szCs w:val="22"/>
        </w:rPr>
        <w:t xml:space="preserve"> Popayán).</w:t>
      </w:r>
    </w:p>
    <w:p w14:paraId="60046C44" w14:textId="77777777" w:rsidR="002431CC" w:rsidRPr="00A56589" w:rsidRDefault="002431CC" w:rsidP="00A56589">
      <w:pPr>
        <w:numPr>
          <w:ilvl w:val="1"/>
          <w:numId w:val="15"/>
        </w:numPr>
        <w:spacing w:after="0"/>
        <w:jc w:val="both"/>
        <w:rPr>
          <w:rFonts w:ascii="Nunito" w:hAnsi="Nunito"/>
          <w:sz w:val="22"/>
          <w:szCs w:val="22"/>
        </w:rPr>
      </w:pPr>
      <w:r w:rsidRPr="00A56589">
        <w:rPr>
          <w:rFonts w:ascii="Nunito" w:hAnsi="Nunito"/>
          <w:sz w:val="22"/>
          <w:szCs w:val="22"/>
        </w:rPr>
        <w:t>El AICA más extenso del AE “Alrededores de Popayán”.</w:t>
      </w:r>
    </w:p>
    <w:p w14:paraId="24BA6736" w14:textId="77777777" w:rsidR="002431CC" w:rsidRPr="00A56589" w:rsidRDefault="002431CC" w:rsidP="00A56589">
      <w:pPr>
        <w:spacing w:after="0"/>
        <w:jc w:val="both"/>
        <w:rPr>
          <w:rFonts w:ascii="Nunito" w:hAnsi="Nunito"/>
          <w:sz w:val="22"/>
          <w:szCs w:val="22"/>
        </w:rPr>
      </w:pPr>
    </w:p>
    <w:p w14:paraId="1E165BC9" w14:textId="77777777" w:rsidR="002431CC" w:rsidRPr="00A56589" w:rsidRDefault="002431CC" w:rsidP="00A56589">
      <w:pPr>
        <w:pStyle w:val="ListParagraph"/>
        <w:numPr>
          <w:ilvl w:val="1"/>
          <w:numId w:val="14"/>
        </w:numPr>
        <w:spacing w:after="0"/>
        <w:ind w:left="709" w:hanging="283"/>
        <w:jc w:val="both"/>
        <w:rPr>
          <w:rFonts w:ascii="Nunito" w:hAnsi="Nunito"/>
          <w:sz w:val="22"/>
          <w:szCs w:val="22"/>
        </w:rPr>
      </w:pPr>
      <w:r w:rsidRPr="00A56589">
        <w:rPr>
          <w:rFonts w:ascii="Nunito" w:hAnsi="Nunito"/>
          <w:sz w:val="22"/>
          <w:szCs w:val="22"/>
        </w:rPr>
        <w:t xml:space="preserve">En el departamento de Nariño, puntualmente en el cañón Río Pasto y Recorrido Vía- Panamericana Pasto – Mercaderes, se presencian tramos especiales que se deben considerar, teniendo presente lo siguiente: </w:t>
      </w:r>
    </w:p>
    <w:p w14:paraId="5ACBE757" w14:textId="77777777" w:rsidR="002431CC" w:rsidRPr="00A5621C" w:rsidRDefault="002431CC" w:rsidP="00A56589">
      <w:pPr>
        <w:numPr>
          <w:ilvl w:val="0"/>
          <w:numId w:val="16"/>
        </w:numPr>
        <w:spacing w:after="0"/>
        <w:ind w:left="993" w:hanging="284"/>
        <w:jc w:val="both"/>
        <w:rPr>
          <w:rFonts w:ascii="Nunito" w:hAnsi="Nunito"/>
          <w:sz w:val="22"/>
          <w:szCs w:val="22"/>
        </w:rPr>
      </w:pPr>
      <w:r w:rsidRPr="00A56589">
        <w:rPr>
          <w:rFonts w:ascii="Nunito" w:hAnsi="Nunito"/>
          <w:sz w:val="22"/>
          <w:szCs w:val="22"/>
        </w:rPr>
        <w:t xml:space="preserve">Entre los municipios Chachagüí y Pasto se encuentran zonas de importancia ambiental como el Parque Natural </w:t>
      </w:r>
      <w:proofErr w:type="spellStart"/>
      <w:r w:rsidRPr="00A56589">
        <w:rPr>
          <w:rFonts w:ascii="Nunito" w:hAnsi="Nunito"/>
          <w:sz w:val="22"/>
          <w:szCs w:val="22"/>
        </w:rPr>
        <w:t>Chimayoy</w:t>
      </w:r>
      <w:proofErr w:type="spellEnd"/>
      <w:r w:rsidRPr="00A56589">
        <w:rPr>
          <w:rFonts w:ascii="Nunito" w:hAnsi="Nunito"/>
          <w:sz w:val="22"/>
          <w:szCs w:val="22"/>
        </w:rPr>
        <w:t xml:space="preserve">, Bosque de </w:t>
      </w:r>
      <w:r w:rsidRPr="00A5621C">
        <w:rPr>
          <w:rFonts w:ascii="Nunito" w:hAnsi="Nunito"/>
          <w:sz w:val="22"/>
          <w:szCs w:val="22"/>
        </w:rPr>
        <w:t xml:space="preserve">Robles considerado corredor biológico para el oso anteojos, Bosque el Carpintero, Reserva Natural La Macarena y Reserva Natural Comunitaria Matarredonda, en su mayoría no declaradas áreas protegidas pero consideradas zonas sensibles para el territorio. </w:t>
      </w:r>
    </w:p>
    <w:p w14:paraId="5B76CCB8" w14:textId="77777777" w:rsidR="002431CC" w:rsidRPr="00A5621C" w:rsidRDefault="002431CC" w:rsidP="00A5621C">
      <w:pPr>
        <w:numPr>
          <w:ilvl w:val="0"/>
          <w:numId w:val="16"/>
        </w:numPr>
        <w:spacing w:after="0"/>
        <w:ind w:left="993" w:hanging="284"/>
        <w:jc w:val="both"/>
        <w:rPr>
          <w:rFonts w:ascii="Nunito" w:hAnsi="Nunito"/>
          <w:sz w:val="22"/>
          <w:szCs w:val="22"/>
        </w:rPr>
      </w:pPr>
      <w:r w:rsidRPr="00A5621C">
        <w:rPr>
          <w:rFonts w:ascii="Nunito" w:hAnsi="Nunito"/>
          <w:sz w:val="22"/>
          <w:szCs w:val="22"/>
        </w:rPr>
        <w:t>Cercanía a Cerro Morasurco el cual es área protegida municipal y el Complejo de Páramo La Cocha-</w:t>
      </w:r>
      <w:proofErr w:type="spellStart"/>
      <w:r w:rsidRPr="00A5621C">
        <w:rPr>
          <w:rFonts w:ascii="Nunito" w:hAnsi="Nunito"/>
          <w:sz w:val="22"/>
          <w:szCs w:val="22"/>
        </w:rPr>
        <w:t>Patascoy</w:t>
      </w:r>
      <w:proofErr w:type="spellEnd"/>
      <w:r w:rsidRPr="00A5621C">
        <w:rPr>
          <w:rFonts w:ascii="Nunito" w:hAnsi="Nunito"/>
          <w:sz w:val="22"/>
          <w:szCs w:val="22"/>
        </w:rPr>
        <w:t xml:space="preserve">. </w:t>
      </w:r>
    </w:p>
    <w:p w14:paraId="7798A00F" w14:textId="77777777" w:rsidR="002431CC" w:rsidRPr="00A5621C" w:rsidRDefault="002431CC" w:rsidP="00A5621C">
      <w:pPr>
        <w:numPr>
          <w:ilvl w:val="0"/>
          <w:numId w:val="16"/>
        </w:numPr>
        <w:spacing w:after="0"/>
        <w:ind w:left="993" w:hanging="284"/>
        <w:jc w:val="both"/>
        <w:rPr>
          <w:rFonts w:ascii="Nunito" w:hAnsi="Nunito"/>
          <w:sz w:val="22"/>
          <w:szCs w:val="22"/>
        </w:rPr>
      </w:pPr>
      <w:r w:rsidRPr="00A5621C">
        <w:rPr>
          <w:rFonts w:ascii="Nunito" w:hAnsi="Nunito"/>
          <w:sz w:val="22"/>
          <w:szCs w:val="22"/>
        </w:rPr>
        <w:t xml:space="preserve">Pendientes fuertemente inclinadas debido al aumento altitudinal entre Pasto y Buesaco. </w:t>
      </w:r>
    </w:p>
    <w:p w14:paraId="35414AE6" w14:textId="77777777" w:rsidR="002431CC" w:rsidRPr="00A5621C" w:rsidRDefault="002431CC" w:rsidP="00A5621C">
      <w:pPr>
        <w:numPr>
          <w:ilvl w:val="0"/>
          <w:numId w:val="16"/>
        </w:numPr>
        <w:spacing w:after="0"/>
        <w:ind w:left="993" w:hanging="284"/>
        <w:jc w:val="both"/>
        <w:rPr>
          <w:rFonts w:ascii="Nunito" w:hAnsi="Nunito"/>
          <w:sz w:val="22"/>
          <w:szCs w:val="22"/>
        </w:rPr>
      </w:pPr>
      <w:r w:rsidRPr="00A5621C">
        <w:rPr>
          <w:rFonts w:ascii="Nunito" w:hAnsi="Nunito"/>
          <w:sz w:val="22"/>
          <w:szCs w:val="22"/>
        </w:rPr>
        <w:t>Estudios de la Corporación Autónoma Regional de Nariño – CORPONARIÑO, sobre áreas ambientalmente especiales presentes y cartografiadas en el departamento.</w:t>
      </w:r>
    </w:p>
    <w:p w14:paraId="22DA4648" w14:textId="1FDEF532" w:rsidR="000B4E57" w:rsidRPr="00A5621C" w:rsidRDefault="000B4E57" w:rsidP="00A5621C">
      <w:pPr>
        <w:spacing w:after="0"/>
        <w:jc w:val="center"/>
        <w:rPr>
          <w:rFonts w:ascii="Nunito" w:hAnsi="Nunito"/>
          <w:sz w:val="22"/>
          <w:szCs w:val="22"/>
        </w:rPr>
      </w:pPr>
      <w:bookmarkStart w:id="6" w:name="_heading=h.2mn7vak" w:colFirst="0" w:colLast="0"/>
      <w:bookmarkStart w:id="7" w:name="_heading=h.11si5id" w:colFirst="0" w:colLast="0"/>
      <w:bookmarkStart w:id="8" w:name="_heading=h.y3x78pgtidtl" w:colFirst="0" w:colLast="0"/>
      <w:bookmarkStart w:id="9" w:name="_heading=h.sg5hq2uqlrsk" w:colFirst="0" w:colLast="0"/>
      <w:bookmarkStart w:id="10" w:name="_heading=h.cypy27vcc7kn" w:colFirst="0" w:colLast="0"/>
      <w:bookmarkStart w:id="11" w:name="_heading=h.mvbdusl56p2i" w:colFirst="0" w:colLast="0"/>
      <w:bookmarkStart w:id="12" w:name="_heading=h.608b8ein8g0w" w:colFirst="0" w:colLast="0"/>
      <w:bookmarkStart w:id="13" w:name="_heading=h.20xfydz" w:colFirst="0" w:colLast="0"/>
      <w:bookmarkEnd w:id="1"/>
      <w:bookmarkEnd w:id="2"/>
      <w:bookmarkEnd w:id="6"/>
      <w:bookmarkEnd w:id="7"/>
      <w:bookmarkEnd w:id="8"/>
      <w:bookmarkEnd w:id="9"/>
      <w:bookmarkEnd w:id="10"/>
      <w:bookmarkEnd w:id="11"/>
      <w:bookmarkEnd w:id="12"/>
      <w:bookmarkEnd w:id="13"/>
    </w:p>
    <w:sectPr w:rsidR="000B4E57" w:rsidRPr="00A5621C" w:rsidSect="00C222E4">
      <w:headerReference w:type="default" r:id="rId11"/>
      <w:footerReference w:type="default" r:id="rId12"/>
      <w:pgSz w:w="12240" w:h="15840"/>
      <w:pgMar w:top="1791" w:right="1440" w:bottom="1440" w:left="1440" w:header="708" w:footer="708" w:gutter="0"/>
      <w:pgNumType w:start="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45C8EA6" w14:textId="77777777" w:rsidR="00053979" w:rsidRDefault="00053979" w:rsidP="00C222E4">
      <w:pPr>
        <w:spacing w:after="0" w:line="240" w:lineRule="auto"/>
      </w:pPr>
      <w:r>
        <w:separator/>
      </w:r>
    </w:p>
  </w:endnote>
  <w:endnote w:type="continuationSeparator" w:id="0">
    <w:p w14:paraId="6493F0BC" w14:textId="77777777" w:rsidR="00053979" w:rsidRDefault="00053979" w:rsidP="00C222E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Noto Sans Symbols">
    <w:altName w:val="Calibri"/>
    <w:panose1 w:val="020B0604020202020204"/>
    <w:charset w:val="00"/>
    <w:family w:val="auto"/>
    <w:pitch w:val="default"/>
  </w:font>
  <w:font w:name="Arial Narrow">
    <w:panose1 w:val="020B0606020202030204"/>
    <w:charset w:val="00"/>
    <w:family w:val="swiss"/>
    <w:pitch w:val="variable"/>
    <w:sig w:usb0="00000287" w:usb1="00000800" w:usb2="00000000" w:usb3="00000000" w:csb0="0000009F" w:csb1="00000000"/>
  </w:font>
  <w:font w:name="Nunito">
    <w:panose1 w:val="00000000000000000000"/>
    <w:charset w:val="4D"/>
    <w:family w:val="auto"/>
    <w:pitch w:val="variable"/>
    <w:sig w:usb0="A00002FF" w:usb1="5000204B" w:usb2="00000000" w:usb3="00000000" w:csb0="00000197" w:csb1="00000000"/>
  </w:font>
  <w:font w:name="Arial">
    <w:panose1 w:val="020B0604020202020204"/>
    <w:charset w:val="00"/>
    <w:family w:val="swiss"/>
    <w:pitch w:val="variable"/>
    <w:sig w:usb0="E0002AFF" w:usb1="C0007843" w:usb2="00000009" w:usb3="00000000" w:csb0="000001FF" w:csb1="00000000"/>
  </w:font>
  <w:font w:name="Aptos">
    <w:panose1 w:val="020B0004020202020204"/>
    <w:charset w:val="00"/>
    <w:family w:val="swiss"/>
    <w:pitch w:val="variable"/>
    <w:sig w:usb0="20000287" w:usb1="00000003" w:usb2="00000000" w:usb3="00000000" w:csb0="0000019F" w:csb1="00000000"/>
  </w:font>
  <w:font w:name="Aptos Display">
    <w:panose1 w:val="020B0004020202020204"/>
    <w:charset w:val="00"/>
    <w:family w:val="swiss"/>
    <w:pitch w:val="variable"/>
    <w:sig w:usb0="20000287" w:usb1="00000003" w:usb2="00000000" w:usb3="00000000" w:csb0="0000019F" w:csb1="00000000"/>
  </w:font>
  <w:font w:name="Big Caslon Medium">
    <w:panose1 w:val="02000603090000020003"/>
    <w:charset w:val="B1"/>
    <w:family w:val="auto"/>
    <w:pitch w:val="variable"/>
    <w:sig w:usb0="80000863" w:usb1="00000000" w:usb2="00000000" w:usb3="00000000" w:csb0="000001FB" w:csb1="00000000"/>
  </w:font>
  <w:font w:name="Calibri">
    <w:panose1 w:val="020F0502020204030204"/>
    <w:charset w:val="00"/>
    <w:family w:val="swiss"/>
    <w:pitch w:val="variable"/>
    <w:sig w:usb0="E0002A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A3125F1" w14:textId="77777777" w:rsidR="00961AE8" w:rsidRPr="004D4082" w:rsidRDefault="005A559B">
    <w:pPr>
      <w:pStyle w:val="Footer"/>
      <w:tabs>
        <w:tab w:val="clear" w:pos="4680"/>
        <w:tab w:val="clear" w:pos="9360"/>
      </w:tabs>
      <w:jc w:val="center"/>
      <w:rPr>
        <w:caps/>
        <w:noProof/>
        <w:color w:val="808080" w:themeColor="background1" w:themeShade="80"/>
        <w:sz w:val="28"/>
        <w:szCs w:val="28"/>
      </w:rPr>
    </w:pPr>
    <w:r w:rsidRPr="004D4082">
      <w:rPr>
        <w:caps/>
        <w:color w:val="808080" w:themeColor="background1" w:themeShade="80"/>
        <w:sz w:val="28"/>
        <w:szCs w:val="28"/>
      </w:rPr>
      <w:fldChar w:fldCharType="begin"/>
    </w:r>
    <w:r w:rsidRPr="004D4082">
      <w:rPr>
        <w:caps/>
        <w:color w:val="808080" w:themeColor="background1" w:themeShade="80"/>
        <w:sz w:val="28"/>
        <w:szCs w:val="28"/>
      </w:rPr>
      <w:instrText xml:space="preserve"> PAGE   \* MERGEFORMAT </w:instrText>
    </w:r>
    <w:r w:rsidRPr="004D4082">
      <w:rPr>
        <w:caps/>
        <w:color w:val="808080" w:themeColor="background1" w:themeShade="80"/>
        <w:sz w:val="28"/>
        <w:szCs w:val="28"/>
      </w:rPr>
      <w:fldChar w:fldCharType="separate"/>
    </w:r>
    <w:r>
      <w:rPr>
        <w:caps/>
        <w:noProof/>
        <w:color w:val="808080" w:themeColor="background1" w:themeShade="80"/>
        <w:sz w:val="28"/>
        <w:szCs w:val="28"/>
      </w:rPr>
      <w:t>135</w:t>
    </w:r>
    <w:r w:rsidRPr="004D4082">
      <w:rPr>
        <w:caps/>
        <w:noProof/>
        <w:color w:val="808080" w:themeColor="background1" w:themeShade="80"/>
        <w:sz w:val="28"/>
        <w:szCs w:val="28"/>
      </w:rPr>
      <w:fldChar w:fldCharType="end"/>
    </w:r>
  </w:p>
  <w:p w14:paraId="4A898C35" w14:textId="77777777" w:rsidR="00961AE8" w:rsidRDefault="00961AE8">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F78A4E9" w14:textId="77777777" w:rsidR="00053979" w:rsidRDefault="00053979" w:rsidP="00C222E4">
      <w:pPr>
        <w:spacing w:after="0" w:line="240" w:lineRule="auto"/>
      </w:pPr>
      <w:r>
        <w:separator/>
      </w:r>
    </w:p>
  </w:footnote>
  <w:footnote w:type="continuationSeparator" w:id="0">
    <w:p w14:paraId="316A8C3E" w14:textId="77777777" w:rsidR="00053979" w:rsidRDefault="00053979" w:rsidP="00C222E4">
      <w:pPr>
        <w:spacing w:after="0" w:line="240" w:lineRule="auto"/>
      </w:pPr>
      <w:r>
        <w:continuationSeparator/>
      </w:r>
    </w:p>
  </w:footnote>
  <w:footnote w:id="1">
    <w:p w14:paraId="4B8F5595" w14:textId="77777777" w:rsidR="002431CC" w:rsidRPr="0038757F" w:rsidRDefault="002431CC" w:rsidP="002431CC">
      <w:pPr>
        <w:pStyle w:val="FootnoteText"/>
        <w:rPr>
          <w:rFonts w:ascii="Nunito" w:hAnsi="Nunito" w:cs="Arial"/>
          <w:sz w:val="16"/>
          <w:szCs w:val="16"/>
        </w:rPr>
      </w:pPr>
      <w:r w:rsidRPr="0038757F">
        <w:rPr>
          <w:rStyle w:val="FootnoteReference"/>
          <w:rFonts w:ascii="Nunito" w:hAnsi="Nunito"/>
        </w:rPr>
        <w:footnoteRef/>
      </w:r>
      <w:r w:rsidRPr="0038757F">
        <w:rPr>
          <w:rFonts w:ascii="Nunito" w:hAnsi="Nunito"/>
        </w:rPr>
        <w:t xml:space="preserve"> </w:t>
      </w:r>
      <w:r w:rsidRPr="0038757F">
        <w:rPr>
          <w:rFonts w:ascii="Nunito" w:hAnsi="Nunito" w:cs="Arial"/>
          <w:sz w:val="16"/>
          <w:szCs w:val="16"/>
        </w:rPr>
        <w:t>Fallo No. 52001-23-33-000-2018-00512-03 de la sección primera del Consejo de Estado.</w:t>
      </w:r>
    </w:p>
  </w:footnote>
  <w:footnote w:id="2">
    <w:p w14:paraId="54D310C4" w14:textId="77777777" w:rsidR="002431CC" w:rsidRPr="0038757F" w:rsidRDefault="002431CC" w:rsidP="002431CC">
      <w:pPr>
        <w:pStyle w:val="FootnoteText"/>
        <w:rPr>
          <w:rFonts w:ascii="Nunito" w:hAnsi="Nunito"/>
        </w:rPr>
      </w:pPr>
      <w:r w:rsidRPr="0038757F">
        <w:rPr>
          <w:rStyle w:val="FootnoteReference"/>
          <w:rFonts w:ascii="Nunito" w:hAnsi="Nunito"/>
        </w:rPr>
        <w:footnoteRef/>
      </w:r>
      <w:r w:rsidRPr="0038757F">
        <w:rPr>
          <w:rFonts w:ascii="Nunito" w:hAnsi="Nunito" w:cs="Arial"/>
          <w:sz w:val="16"/>
          <w:szCs w:val="16"/>
        </w:rPr>
        <w:t xml:space="preserve"> Artículo 22 de la Ley 188 de 1995.</w:t>
      </w:r>
    </w:p>
  </w:footnote>
  <w:footnote w:id="3">
    <w:p w14:paraId="40370EA9" w14:textId="77777777" w:rsidR="002431CC" w:rsidRPr="0038757F" w:rsidRDefault="002431CC" w:rsidP="002431CC">
      <w:pPr>
        <w:pStyle w:val="FootnoteText"/>
        <w:rPr>
          <w:rFonts w:ascii="Nunito" w:hAnsi="Nunito"/>
        </w:rPr>
      </w:pPr>
      <w:r w:rsidRPr="0038757F">
        <w:rPr>
          <w:rStyle w:val="FootnoteReference"/>
          <w:rFonts w:ascii="Nunito" w:eastAsia="Calibri" w:hAnsi="Nunito" w:cs="Calibri"/>
          <w:color w:val="000000"/>
          <w:lang w:val="es-CO"/>
        </w:rPr>
        <w:footnoteRef/>
      </w:r>
      <w:r w:rsidRPr="0038757F">
        <w:rPr>
          <w:rFonts w:ascii="Nunito" w:eastAsia="Calibri" w:hAnsi="Nunito" w:cs="Calibri"/>
          <w:color w:val="000000"/>
          <w:lang w:val="es-CO"/>
        </w:rPr>
        <w:t xml:space="preserve"> </w:t>
      </w:r>
      <w:r w:rsidRPr="0038757F">
        <w:rPr>
          <w:rFonts w:ascii="Nunito" w:eastAsia="Calibri" w:hAnsi="Nunito"/>
          <w:color w:val="000000"/>
          <w:sz w:val="16"/>
          <w:szCs w:val="16"/>
          <w:lang w:val="es-CO"/>
        </w:rPr>
        <w:t>Artículo 55 de la Ley 191 de 1995.</w:t>
      </w:r>
    </w:p>
  </w:footnote>
  <w:footnote w:id="4">
    <w:p w14:paraId="1B3A52F9" w14:textId="77777777" w:rsidR="002431CC" w:rsidRPr="0038757F" w:rsidRDefault="002431CC" w:rsidP="002431CC">
      <w:pPr>
        <w:pStyle w:val="FootnoteText"/>
        <w:rPr>
          <w:rFonts w:ascii="Nunito" w:hAnsi="Nunito"/>
        </w:rPr>
      </w:pPr>
      <w:r w:rsidRPr="0038757F">
        <w:rPr>
          <w:rStyle w:val="FootnoteReference"/>
          <w:rFonts w:ascii="Nunito" w:hAnsi="Nunito"/>
        </w:rPr>
        <w:footnoteRef/>
      </w:r>
      <w:r w:rsidRPr="0038757F">
        <w:rPr>
          <w:rFonts w:ascii="Nunito" w:hAnsi="Nunito"/>
        </w:rPr>
        <w:t xml:space="preserve"> </w:t>
      </w:r>
      <w:r w:rsidRPr="0038757F">
        <w:rPr>
          <w:rFonts w:ascii="Nunito" w:hAnsi="Nunito" w:cs="Arial"/>
          <w:sz w:val="16"/>
          <w:szCs w:val="16"/>
        </w:rPr>
        <w:t>Artículo 9 de la Ley 1118 de 2006.</w:t>
      </w:r>
    </w:p>
  </w:footnote>
  <w:footnote w:id="5">
    <w:p w14:paraId="278DCB50" w14:textId="77777777" w:rsidR="002431CC" w:rsidRPr="0038757F" w:rsidRDefault="002431CC" w:rsidP="002431CC">
      <w:pPr>
        <w:pStyle w:val="FootnoteText"/>
        <w:rPr>
          <w:rFonts w:ascii="Nunito" w:hAnsi="Nunito"/>
        </w:rPr>
      </w:pPr>
      <w:r w:rsidRPr="0038757F">
        <w:rPr>
          <w:rStyle w:val="FootnoteReference"/>
          <w:rFonts w:ascii="Nunito" w:hAnsi="Nunito"/>
        </w:rPr>
        <w:footnoteRef/>
      </w:r>
      <w:r w:rsidRPr="0038757F">
        <w:rPr>
          <w:rFonts w:ascii="Nunito" w:hAnsi="Nunito"/>
        </w:rPr>
        <w:t xml:space="preserve"> </w:t>
      </w:r>
      <w:r w:rsidRPr="0038757F">
        <w:rPr>
          <w:rFonts w:ascii="Nunito" w:hAnsi="Nunito" w:cs="Arial"/>
          <w:sz w:val="16"/>
          <w:szCs w:val="16"/>
        </w:rPr>
        <w:t>Ley 1955 de 2019.</w:t>
      </w:r>
    </w:p>
  </w:footnote>
  <w:footnote w:id="6">
    <w:p w14:paraId="05BD8007" w14:textId="77777777" w:rsidR="002431CC" w:rsidRDefault="002431CC" w:rsidP="002431CC">
      <w:pPr>
        <w:pStyle w:val="FootnoteText"/>
      </w:pPr>
      <w:r w:rsidRPr="0038757F">
        <w:rPr>
          <w:rStyle w:val="FootnoteReference"/>
          <w:rFonts w:ascii="Nunito" w:hAnsi="Nunito"/>
        </w:rPr>
        <w:footnoteRef/>
      </w:r>
      <w:r w:rsidRPr="0038757F">
        <w:rPr>
          <w:rFonts w:ascii="Nunito" w:hAnsi="Nunito"/>
        </w:rPr>
        <w:t xml:space="preserve"> </w:t>
      </w:r>
      <w:r w:rsidRPr="0038757F">
        <w:rPr>
          <w:rFonts w:ascii="Nunito" w:hAnsi="Nunito" w:cs="Arial"/>
          <w:sz w:val="16"/>
          <w:szCs w:val="16"/>
        </w:rPr>
        <w:t>Ley 2135 de 2021.</w:t>
      </w:r>
    </w:p>
  </w:footnote>
  <w:footnote w:id="7">
    <w:p w14:paraId="51E5365A" w14:textId="77777777" w:rsidR="002431CC" w:rsidRPr="0038757F" w:rsidRDefault="002431CC" w:rsidP="002431CC">
      <w:pPr>
        <w:pStyle w:val="FootnoteText"/>
        <w:rPr>
          <w:rFonts w:ascii="Nunito" w:hAnsi="Nunito"/>
        </w:rPr>
      </w:pPr>
      <w:r w:rsidRPr="0038757F">
        <w:rPr>
          <w:rStyle w:val="FootnoteReference"/>
          <w:rFonts w:ascii="Nunito" w:hAnsi="Nunito"/>
        </w:rPr>
        <w:footnoteRef/>
      </w:r>
      <w:r w:rsidRPr="0038757F">
        <w:rPr>
          <w:rFonts w:ascii="Nunito" w:hAnsi="Nunito"/>
        </w:rPr>
        <w:t xml:space="preserve"> </w:t>
      </w:r>
      <w:r w:rsidRPr="0038757F">
        <w:rPr>
          <w:rFonts w:ascii="Nunito" w:hAnsi="Nunito" w:cs="Arial"/>
          <w:sz w:val="16"/>
          <w:szCs w:val="16"/>
        </w:rPr>
        <w:t>Decreto 1135 de 2022. Por el cual se modifica el Decreto Único Reglamentario del Sector Administrativo de Minas y Energía 1073 de 2015, respecto del sector de hidrocarburos y se dictan otras disposiciones</w:t>
      </w:r>
      <w:r w:rsidRPr="004F4556">
        <w:rPr>
          <w:rFonts w:ascii="Nunito" w:hAnsi="Nunito" w:cs="Arial"/>
          <w:sz w:val="16"/>
          <w:szCs w:val="16"/>
        </w:rPr>
        <w:t>.</w:t>
      </w:r>
    </w:p>
  </w:footnote>
  <w:footnote w:id="8">
    <w:p w14:paraId="6163022B" w14:textId="77777777" w:rsidR="002431CC" w:rsidRPr="0038757F" w:rsidRDefault="002431CC" w:rsidP="002431CC">
      <w:pPr>
        <w:pStyle w:val="FootnoteText"/>
        <w:rPr>
          <w:rFonts w:ascii="Nunito" w:hAnsi="Nunito"/>
        </w:rPr>
      </w:pPr>
      <w:r w:rsidRPr="0038757F">
        <w:rPr>
          <w:rStyle w:val="FootnoteReference"/>
          <w:rFonts w:ascii="Nunito" w:hAnsi="Nunito"/>
        </w:rPr>
        <w:footnoteRef/>
      </w:r>
      <w:r w:rsidRPr="0038757F">
        <w:rPr>
          <w:rFonts w:ascii="Nunito" w:hAnsi="Nunito"/>
        </w:rPr>
        <w:t xml:space="preserve"> MME, </w:t>
      </w:r>
      <w:r w:rsidRPr="0038757F">
        <w:rPr>
          <w:rFonts w:ascii="Nunito" w:hAnsi="Nunito" w:cs="Arial"/>
          <w:sz w:val="16"/>
          <w:szCs w:val="16"/>
        </w:rPr>
        <w:t>Resolución 40408 de 2021. Por la cual se adoptan obras para el Plan de Expansión de la Red de Poliductos.</w:t>
      </w:r>
    </w:p>
  </w:footnote>
  <w:footnote w:id="9">
    <w:p w14:paraId="2E5725E8" w14:textId="77777777" w:rsidR="002431CC" w:rsidRDefault="002431CC" w:rsidP="00A5621C">
      <w:pPr>
        <w:pStyle w:val="FootnoteText"/>
        <w:jc w:val="both"/>
      </w:pPr>
      <w:r w:rsidRPr="0038757F">
        <w:rPr>
          <w:rStyle w:val="FootnoteReference"/>
          <w:rFonts w:ascii="Nunito" w:hAnsi="Nunito"/>
        </w:rPr>
        <w:footnoteRef/>
      </w:r>
      <w:r w:rsidRPr="0038757F">
        <w:rPr>
          <w:rFonts w:ascii="Nunito" w:hAnsi="Nunito"/>
        </w:rPr>
        <w:t xml:space="preserve"> </w:t>
      </w:r>
      <w:r w:rsidRPr="0038757F">
        <w:rPr>
          <w:rFonts w:ascii="Nunito" w:hAnsi="Nunito" w:cs="Arial"/>
          <w:sz w:val="16"/>
          <w:szCs w:val="16"/>
        </w:rPr>
        <w:t>Resolución MME 40702 de 2019. Por la cual se establece el mecanismo de asignación de los valores a reconocer por la compensación del transporte terrestre de combustibles líquidos derivados del petróleo a distribuir en los municipios del departamento de Nariño.</w:t>
      </w:r>
    </w:p>
  </w:footnote>
  <w:footnote w:id="10">
    <w:p w14:paraId="6055F98A" w14:textId="77777777" w:rsidR="002431CC" w:rsidRPr="0038757F" w:rsidRDefault="002431CC" w:rsidP="002431CC">
      <w:pPr>
        <w:pStyle w:val="FootnoteText"/>
        <w:rPr>
          <w:rFonts w:ascii="Nunito" w:hAnsi="Nunito"/>
        </w:rPr>
      </w:pPr>
      <w:r>
        <w:rPr>
          <w:rStyle w:val="FootnoteReference"/>
        </w:rPr>
        <w:footnoteRef/>
      </w:r>
      <w:r>
        <w:t xml:space="preserve"> </w:t>
      </w:r>
      <w:r w:rsidRPr="0038757F">
        <w:rPr>
          <w:rFonts w:ascii="Nunito" w:hAnsi="Nunito" w:cs="Arial"/>
          <w:sz w:val="16"/>
          <w:szCs w:val="16"/>
        </w:rPr>
        <w:t>Fallo No. 52001-23-33-000-2018-00512-03 de la sección primera del Consejo de Estado.</w:t>
      </w:r>
    </w:p>
  </w:footnote>
  <w:footnote w:id="11">
    <w:p w14:paraId="5D530F2E" w14:textId="77777777" w:rsidR="002431CC" w:rsidRPr="001E5F00" w:rsidRDefault="002431CC" w:rsidP="00A5621C">
      <w:pPr>
        <w:spacing w:after="0" w:line="240" w:lineRule="auto"/>
        <w:rPr>
          <w:rFonts w:ascii="Nunito" w:hAnsi="Nunito"/>
        </w:rPr>
      </w:pPr>
      <w:r w:rsidRPr="001E5F00">
        <w:rPr>
          <w:rStyle w:val="FootnoteReference"/>
          <w:rFonts w:ascii="Nunito" w:hAnsi="Nunito"/>
        </w:rPr>
        <w:footnoteRef/>
      </w:r>
      <w:r w:rsidRPr="001E5F00">
        <w:rPr>
          <w:rFonts w:ascii="Nunito" w:hAnsi="Nunito"/>
        </w:rPr>
        <w:t xml:space="preserve"> </w:t>
      </w:r>
      <w:r w:rsidRPr="001E5F00">
        <w:rPr>
          <w:rFonts w:ascii="Nunito" w:hAnsi="Nunito"/>
          <w:sz w:val="16"/>
          <w:szCs w:val="16"/>
        </w:rPr>
        <w:t>Portafolio. Tomado de: https://www.portafolio.co/energia/distribucion-de-combustible-en-narino-cambia-entre-dudas-597093</w:t>
      </w:r>
    </w:p>
  </w:footnote>
  <w:footnote w:id="12">
    <w:p w14:paraId="567A2EB4" w14:textId="2AAD0CB1" w:rsidR="002431CC" w:rsidRDefault="002431CC" w:rsidP="00346B76">
      <w:pPr>
        <w:pStyle w:val="FootnoteText"/>
      </w:pPr>
      <w:r w:rsidRPr="0038757F">
        <w:rPr>
          <w:rStyle w:val="FootnoteReference"/>
          <w:rFonts w:ascii="Nunito" w:hAnsi="Nunito"/>
        </w:rPr>
        <w:footnoteRef/>
      </w:r>
      <w:r w:rsidR="008E75DF">
        <w:rPr>
          <w:rFonts w:ascii="Nunito" w:eastAsia="Arial" w:hAnsi="Nunito" w:cs="Arial"/>
          <w:sz w:val="16"/>
          <w:szCs w:val="16"/>
          <w:lang w:val="es"/>
        </w:rPr>
        <w:t xml:space="preserve"> </w:t>
      </w:r>
      <w:r w:rsidRPr="0038757F">
        <w:rPr>
          <w:rFonts w:ascii="Nunito" w:eastAsia="Arial" w:hAnsi="Nunito" w:cs="Arial"/>
          <w:sz w:val="16"/>
          <w:szCs w:val="16"/>
          <w:lang w:val="es"/>
        </w:rPr>
        <w:t>Cifras de referencia tomadas de</w:t>
      </w:r>
      <w:r>
        <w:rPr>
          <w:rFonts w:ascii="Nunito" w:eastAsia="Arial" w:hAnsi="Nunito" w:cs="Arial"/>
          <w:sz w:val="16"/>
          <w:szCs w:val="16"/>
          <w:lang w:val="es"/>
        </w:rPr>
        <w:t xml:space="preserve"> </w:t>
      </w:r>
      <w:proofErr w:type="spellStart"/>
      <w:r>
        <w:rPr>
          <w:rFonts w:ascii="Nunito" w:eastAsia="Arial" w:hAnsi="Nunito" w:cs="Arial"/>
          <w:sz w:val="16"/>
          <w:szCs w:val="16"/>
          <w:lang w:val="es"/>
        </w:rPr>
        <w:t>Gasnova</w:t>
      </w:r>
      <w:proofErr w:type="spellEnd"/>
      <w:r>
        <w:rPr>
          <w:rFonts w:ascii="Nunito" w:eastAsia="Arial" w:hAnsi="Nunito" w:cs="Arial"/>
          <w:sz w:val="16"/>
          <w:szCs w:val="16"/>
          <w:lang w:val="es"/>
        </w:rPr>
        <w:t xml:space="preserve"> para el período 2020 a 2024. Disponible para consulta en: </w:t>
      </w:r>
      <w:hyperlink r:id="rId1" w:history="1">
        <w:r w:rsidRPr="00BC19D3">
          <w:rPr>
            <w:rStyle w:val="Hyperlink"/>
            <w:rFonts w:ascii="Nunito" w:eastAsia="Arial" w:hAnsi="Nunito" w:cs="Arial"/>
            <w:sz w:val="16"/>
            <w:szCs w:val="16"/>
            <w:lang w:val="es"/>
          </w:rPr>
          <w:t>https://www.gasnova.co/informes-estadisticos/</w:t>
        </w:r>
      </w:hyperlink>
      <w:r>
        <w:rPr>
          <w:rFonts w:ascii="Nunito" w:eastAsia="Arial" w:hAnsi="Nunito" w:cs="Arial"/>
          <w:sz w:val="16"/>
          <w:szCs w:val="16"/>
          <w:lang w:val="es"/>
        </w:rPr>
        <w:t xml:space="preserve"> </w:t>
      </w:r>
      <w:r w:rsidRPr="0038757F">
        <w:rPr>
          <w:rFonts w:ascii="Nunito" w:eastAsia="Arial" w:hAnsi="Nunito" w:cs="Arial"/>
          <w:sz w:val="16"/>
          <w:szCs w:val="16"/>
          <w:lang w:val="es"/>
        </w:rPr>
        <w:t xml:space="preserve"> </w:t>
      </w:r>
    </w:p>
  </w:footnote>
  <w:footnote w:id="13">
    <w:p w14:paraId="285E84D0" w14:textId="77777777" w:rsidR="002431CC" w:rsidRDefault="002431CC" w:rsidP="002431CC">
      <w:pPr>
        <w:pStyle w:val="FootnoteText"/>
      </w:pPr>
      <w:r>
        <w:rPr>
          <w:rStyle w:val="FootnoteReference"/>
        </w:rPr>
        <w:footnoteRef/>
      </w:r>
      <w:r>
        <w:t xml:space="preserve"> </w:t>
      </w:r>
      <w:r w:rsidRPr="001E5F00">
        <w:rPr>
          <w:rFonts w:ascii="Nunito" w:hAnsi="Nunito"/>
          <w:sz w:val="16"/>
          <w:szCs w:val="16"/>
        </w:rPr>
        <w:t xml:space="preserve">UPME. Análisis de entorno y análisis costo/beneficio </w:t>
      </w:r>
      <w:r>
        <w:rPr>
          <w:rFonts w:ascii="Nunito" w:hAnsi="Nunito"/>
          <w:sz w:val="16"/>
          <w:szCs w:val="16"/>
        </w:rPr>
        <w:t xml:space="preserve">Poliducto Yumbo-Pasto. Disponible para consulta en: </w:t>
      </w:r>
      <w:hyperlink r:id="rId2" w:history="1">
        <w:r w:rsidRPr="001E5F00">
          <w:rPr>
            <w:rStyle w:val="Hyperlink"/>
            <w:rFonts w:ascii="Nunito" w:eastAsia="Arial" w:hAnsi="Nunito" w:cs="Arial"/>
            <w:sz w:val="16"/>
            <w:szCs w:val="16"/>
            <w:lang w:val="es"/>
          </w:rPr>
          <w:t>https://www1.upme.gov.co/sipg/Publicaciones_SIPG/Analisis_de_entorno_Yumbo_Pasto_2023.pdf</w:t>
        </w:r>
      </w:hyperlink>
      <w:r>
        <w:rPr>
          <w:rFonts w:ascii="Nunito" w:eastAsia="Arial" w:hAnsi="Nunito" w:cs="Arial"/>
          <w:sz w:val="16"/>
          <w:szCs w:val="16"/>
          <w:lang w:val="es"/>
        </w:rPr>
        <w:t xml:space="preserve"> </w:t>
      </w:r>
    </w:p>
  </w:footnote>
  <w:footnote w:id="14">
    <w:p w14:paraId="4D19D5BC" w14:textId="77777777" w:rsidR="002431CC" w:rsidRPr="0038757F" w:rsidRDefault="002431CC" w:rsidP="00A5621C">
      <w:pPr>
        <w:pStyle w:val="FootnoteText"/>
        <w:jc w:val="both"/>
        <w:rPr>
          <w:rFonts w:ascii="Nunito" w:hAnsi="Nunito" w:cs="Segoe UI"/>
          <w:sz w:val="16"/>
          <w:szCs w:val="16"/>
        </w:rPr>
      </w:pPr>
      <w:r w:rsidRPr="0038757F">
        <w:rPr>
          <w:rStyle w:val="FootnoteReference"/>
          <w:rFonts w:ascii="Nunito" w:hAnsi="Nunito" w:cs="Segoe UI"/>
          <w:sz w:val="16"/>
          <w:szCs w:val="16"/>
        </w:rPr>
        <w:footnoteRef/>
      </w:r>
      <w:r w:rsidRPr="0038757F">
        <w:rPr>
          <w:rFonts w:ascii="Nunito" w:hAnsi="Nunito" w:cs="Segoe UI"/>
          <w:sz w:val="16"/>
          <w:szCs w:val="16"/>
        </w:rPr>
        <w:t xml:space="preserve"> Contrato C-035-2019, desarrollado por DELVASTO &amp;</w:t>
      </w:r>
      <w:r>
        <w:rPr>
          <w:rFonts w:ascii="Nunito" w:hAnsi="Nunito" w:cs="Segoe UI"/>
          <w:sz w:val="16"/>
          <w:szCs w:val="16"/>
        </w:rPr>
        <w:t xml:space="preserve"> </w:t>
      </w:r>
      <w:r w:rsidRPr="0038757F">
        <w:rPr>
          <w:rFonts w:ascii="Nunito" w:hAnsi="Nunito" w:cs="Segoe UI"/>
          <w:sz w:val="16"/>
          <w:szCs w:val="16"/>
        </w:rPr>
        <w:t xml:space="preserve">EHEVERRIA ASOCIADOS CONSULTORES Y CONSEJEROS EN GAS Y ENERGIA LTDA para evaluar la factibilidad técnica y económica de la construcción de un poliducto para el transporte de gasolina, diésel, jet y </w:t>
      </w:r>
      <w:proofErr w:type="spellStart"/>
      <w:r w:rsidRPr="0038757F">
        <w:rPr>
          <w:rFonts w:ascii="Nunito" w:hAnsi="Nunito" w:cs="Segoe UI"/>
          <w:sz w:val="16"/>
          <w:szCs w:val="16"/>
        </w:rPr>
        <w:t>glp</w:t>
      </w:r>
      <w:proofErr w:type="spellEnd"/>
      <w:r w:rsidRPr="0038757F">
        <w:rPr>
          <w:rFonts w:ascii="Nunito" w:hAnsi="Nunito" w:cs="Segoe UI"/>
          <w:sz w:val="16"/>
          <w:szCs w:val="16"/>
        </w:rPr>
        <w:t xml:space="preserve"> entre Yumbo Y la localidad de San Juan de Pasto o su área de influencia, considerando aspectos técnicos, económicos, sociales, ambientales y jurídicos.</w:t>
      </w:r>
    </w:p>
  </w:footnote>
  <w:footnote w:id="15">
    <w:p w14:paraId="732973A5" w14:textId="77777777" w:rsidR="002431CC" w:rsidRPr="0038757F" w:rsidRDefault="002431CC" w:rsidP="00A5621C">
      <w:pPr>
        <w:pStyle w:val="FootnoteText"/>
        <w:jc w:val="both"/>
        <w:rPr>
          <w:rFonts w:ascii="Nunito" w:hAnsi="Nunito" w:cs="Segoe UI"/>
          <w:sz w:val="16"/>
          <w:szCs w:val="16"/>
        </w:rPr>
      </w:pPr>
      <w:r w:rsidRPr="0038757F">
        <w:rPr>
          <w:rStyle w:val="FootnoteReference"/>
          <w:rFonts w:ascii="Nunito" w:hAnsi="Nunito" w:cs="Segoe UI"/>
          <w:sz w:val="16"/>
          <w:szCs w:val="16"/>
        </w:rPr>
        <w:footnoteRef/>
      </w:r>
      <w:r w:rsidRPr="0038757F">
        <w:rPr>
          <w:rFonts w:ascii="Nunito" w:hAnsi="Nunito" w:cs="Segoe UI"/>
          <w:sz w:val="16"/>
          <w:szCs w:val="16"/>
        </w:rPr>
        <w:t xml:space="preserve"> UPME 2022 - Identificación de condicionantes y restricciones ambientales y socioculturales.</w:t>
      </w:r>
    </w:p>
  </w:footnote>
  <w:footnote w:id="16">
    <w:p w14:paraId="184685CB" w14:textId="29F6FD0D" w:rsidR="002431CC" w:rsidRPr="0038757F" w:rsidRDefault="002431CC" w:rsidP="00A5621C">
      <w:pPr>
        <w:pStyle w:val="FootnoteText"/>
        <w:jc w:val="both"/>
        <w:rPr>
          <w:rFonts w:ascii="Nunito" w:hAnsi="Nunito" w:cs="Arial"/>
        </w:rPr>
      </w:pPr>
      <w:r w:rsidRPr="0038757F">
        <w:rPr>
          <w:rStyle w:val="FootnoteReference"/>
          <w:rFonts w:ascii="Nunito" w:hAnsi="Nunito" w:cs="Arial"/>
          <w:sz w:val="16"/>
          <w:szCs w:val="16"/>
        </w:rPr>
        <w:footnoteRef/>
      </w:r>
      <w:r w:rsidRPr="0038757F">
        <w:rPr>
          <w:rFonts w:ascii="Nunito" w:hAnsi="Nunito" w:cs="Arial"/>
          <w:sz w:val="16"/>
          <w:szCs w:val="16"/>
        </w:rPr>
        <w:t xml:space="preserve"> Contrato C-132-2022, desarrollado por ECOSIMPLE S.A.S. para realizar el análisis de entorno considerando las posibilidades, los condicionantes y los riesgos en las dimensiones sectorial, ambiental, sociocultural, económica y político – institucional, así como el costo-beneficio de las alternativas técnicas en estudio, frente al desarrollo futuro del poliducto Yumbo – Pasto.</w:t>
      </w:r>
    </w:p>
  </w:footnote>
  <w:footnote w:id="17">
    <w:p w14:paraId="6487722B" w14:textId="77777777" w:rsidR="002431CC" w:rsidRPr="005E469C" w:rsidRDefault="002431CC" w:rsidP="002431CC">
      <w:pPr>
        <w:pStyle w:val="FootnoteText"/>
        <w:spacing w:after="100" w:afterAutospacing="1"/>
        <w:rPr>
          <w:rFonts w:ascii="Segoe UI" w:hAnsi="Segoe UI" w:cs="Segoe UI"/>
          <w:lang w:val="en-US"/>
        </w:rPr>
      </w:pPr>
      <w:r w:rsidRPr="0038757F">
        <w:rPr>
          <w:rStyle w:val="FootnoteReference"/>
          <w:rFonts w:ascii="Nunito" w:hAnsi="Nunito" w:cs="Arial"/>
          <w:sz w:val="16"/>
          <w:szCs w:val="16"/>
        </w:rPr>
        <w:footnoteRef/>
      </w:r>
      <w:r w:rsidRPr="0038757F">
        <w:rPr>
          <w:rFonts w:ascii="Nunito" w:hAnsi="Nunito" w:cs="Arial"/>
          <w:sz w:val="16"/>
          <w:szCs w:val="16"/>
          <w:lang w:val="en-US"/>
        </w:rPr>
        <w:t xml:space="preserve"> </w:t>
      </w:r>
      <w:proofErr w:type="spellStart"/>
      <w:r w:rsidRPr="0038757F">
        <w:rPr>
          <w:rFonts w:ascii="Nunito" w:hAnsi="Nunito" w:cs="Arial"/>
          <w:sz w:val="16"/>
          <w:szCs w:val="16"/>
          <w:lang w:val="en-US"/>
        </w:rPr>
        <w:t>Oficina</w:t>
      </w:r>
      <w:proofErr w:type="spellEnd"/>
      <w:r w:rsidRPr="0038757F">
        <w:rPr>
          <w:rFonts w:ascii="Nunito" w:hAnsi="Nunito" w:cs="Arial"/>
          <w:sz w:val="16"/>
          <w:szCs w:val="16"/>
          <w:lang w:val="en-US"/>
        </w:rPr>
        <w:t xml:space="preserve"> de </w:t>
      </w:r>
      <w:proofErr w:type="spellStart"/>
      <w:r w:rsidRPr="0038757F">
        <w:rPr>
          <w:rFonts w:ascii="Nunito" w:hAnsi="Nunito" w:cs="Arial"/>
          <w:sz w:val="16"/>
          <w:szCs w:val="16"/>
          <w:lang w:val="en-US"/>
        </w:rPr>
        <w:t>Estadísticas</w:t>
      </w:r>
      <w:proofErr w:type="spellEnd"/>
      <w:r w:rsidRPr="0038757F">
        <w:rPr>
          <w:rFonts w:ascii="Nunito" w:hAnsi="Nunito" w:cs="Arial"/>
          <w:sz w:val="16"/>
          <w:szCs w:val="16"/>
          <w:lang w:val="en-US"/>
        </w:rPr>
        <w:t xml:space="preserve"> </w:t>
      </w:r>
      <w:proofErr w:type="spellStart"/>
      <w:r w:rsidRPr="0038757F">
        <w:rPr>
          <w:rFonts w:ascii="Nunito" w:hAnsi="Nunito" w:cs="Arial"/>
          <w:sz w:val="16"/>
          <w:szCs w:val="16"/>
          <w:lang w:val="en-US"/>
        </w:rPr>
        <w:t>Laborales</w:t>
      </w:r>
      <w:proofErr w:type="spellEnd"/>
      <w:r w:rsidRPr="0038757F">
        <w:rPr>
          <w:rFonts w:ascii="Nunito" w:hAnsi="Nunito" w:cs="Arial"/>
          <w:sz w:val="16"/>
          <w:szCs w:val="16"/>
          <w:lang w:val="en-US"/>
        </w:rPr>
        <w:t xml:space="preserve"> (Bureau of Labor Statistics)</w:t>
      </w:r>
    </w:p>
  </w:footnote>
  <w:footnote w:id="18">
    <w:p w14:paraId="3B33C904" w14:textId="77777777" w:rsidR="002431CC" w:rsidRPr="0038757F" w:rsidRDefault="002431CC" w:rsidP="002431CC">
      <w:pPr>
        <w:pStyle w:val="FootnoteText"/>
        <w:rPr>
          <w:rFonts w:ascii="Nunito" w:hAnsi="Nunito" w:cs="Segoe UI"/>
          <w:sz w:val="16"/>
          <w:szCs w:val="16"/>
          <w:lang w:val="en-US"/>
        </w:rPr>
      </w:pPr>
      <w:r w:rsidRPr="0038757F">
        <w:rPr>
          <w:rStyle w:val="FootnoteReference"/>
          <w:rFonts w:ascii="Nunito" w:hAnsi="Nunito" w:cs="Segoe UI"/>
          <w:sz w:val="16"/>
          <w:szCs w:val="16"/>
        </w:rPr>
        <w:footnoteRef/>
      </w:r>
      <w:r w:rsidRPr="0038757F">
        <w:rPr>
          <w:rFonts w:ascii="Nunito" w:hAnsi="Nunito" w:cs="Segoe UI"/>
          <w:sz w:val="16"/>
          <w:szCs w:val="16"/>
          <w:lang w:val="en-US"/>
        </w:rPr>
        <w:t xml:space="preserve"> US Bureau of Labor Statistics</w:t>
      </w:r>
    </w:p>
  </w:footnote>
  <w:footnote w:id="19">
    <w:p w14:paraId="4CB37FC9" w14:textId="77777777" w:rsidR="002431CC" w:rsidRPr="005E469C" w:rsidRDefault="002431CC" w:rsidP="002431CC">
      <w:pPr>
        <w:pStyle w:val="FootnoteText"/>
        <w:rPr>
          <w:rFonts w:ascii="Segoe UI" w:hAnsi="Segoe UI" w:cs="Segoe UI"/>
          <w:sz w:val="18"/>
          <w:szCs w:val="18"/>
        </w:rPr>
      </w:pPr>
      <w:r w:rsidRPr="0038757F">
        <w:rPr>
          <w:rStyle w:val="FootnoteReference"/>
          <w:rFonts w:ascii="Nunito" w:hAnsi="Nunito" w:cs="Segoe UI"/>
          <w:sz w:val="16"/>
          <w:szCs w:val="16"/>
        </w:rPr>
        <w:footnoteRef/>
      </w:r>
      <w:r w:rsidRPr="0038757F">
        <w:rPr>
          <w:rFonts w:ascii="Nunito" w:hAnsi="Nunito" w:cs="Segoe UI"/>
          <w:sz w:val="16"/>
          <w:szCs w:val="16"/>
        </w:rPr>
        <w:t xml:space="preserve"> TRM BANREP</w:t>
      </w:r>
    </w:p>
  </w:footnote>
  <w:footnote w:id="20">
    <w:p w14:paraId="1D3A19FD" w14:textId="77777777" w:rsidR="002431CC" w:rsidRPr="0038757F" w:rsidRDefault="002431CC" w:rsidP="002431CC">
      <w:pPr>
        <w:pStyle w:val="FootnoteText"/>
        <w:rPr>
          <w:rFonts w:ascii="Nunito" w:hAnsi="Nunito"/>
          <w:sz w:val="16"/>
          <w:szCs w:val="16"/>
        </w:rPr>
      </w:pPr>
      <w:r w:rsidRPr="0038757F">
        <w:rPr>
          <w:rStyle w:val="FootnoteReference"/>
          <w:rFonts w:ascii="Nunito" w:hAnsi="Nunito" w:cs="Segoe UI"/>
          <w:sz w:val="16"/>
          <w:szCs w:val="16"/>
        </w:rPr>
        <w:footnoteRef/>
      </w:r>
      <w:r w:rsidRPr="0038757F">
        <w:rPr>
          <w:rStyle w:val="FootnoteReference"/>
          <w:rFonts w:ascii="Nunito" w:hAnsi="Nunito" w:cs="Segoe UI"/>
          <w:sz w:val="16"/>
          <w:szCs w:val="16"/>
        </w:rPr>
        <w:footnoteRef/>
      </w:r>
      <w:r w:rsidRPr="0038757F">
        <w:rPr>
          <w:rFonts w:ascii="Nunito" w:hAnsi="Nunito" w:cs="Segoe UI"/>
          <w:sz w:val="16"/>
          <w:szCs w:val="16"/>
        </w:rPr>
        <w:t xml:space="preserve"> Contrato C-132-2022, desarrollado por ECOSIMPLE S.A.S. para realizar el análisis de entorno considerando las posibilidades, los condicionantes y los riesgos en las dimensiones sectorial, ambiental, sociocultural, económica y político – institucional, así como el costo-beneficio de las alternativas técnicas en estudio, frente al desarrollo futuro del poliducto Yumbo – Pasto.</w:t>
      </w:r>
    </w:p>
  </w:footnote>
  <w:footnote w:id="21">
    <w:p w14:paraId="5903BBD3" w14:textId="77777777" w:rsidR="002431CC" w:rsidRPr="0038757F" w:rsidRDefault="002431CC" w:rsidP="002431CC">
      <w:pPr>
        <w:pStyle w:val="FootnoteText"/>
        <w:rPr>
          <w:rFonts w:ascii="Nunito" w:hAnsi="Nunito" w:cs="Arial"/>
          <w:sz w:val="16"/>
          <w:szCs w:val="16"/>
        </w:rPr>
      </w:pPr>
      <w:r w:rsidRPr="0038757F">
        <w:rPr>
          <w:rStyle w:val="FootnoteReference"/>
          <w:rFonts w:ascii="Nunito" w:hAnsi="Nunito" w:cs="Arial"/>
          <w:sz w:val="16"/>
          <w:szCs w:val="16"/>
        </w:rPr>
        <w:footnoteRef/>
      </w:r>
      <w:r w:rsidRPr="0038757F">
        <w:rPr>
          <w:rFonts w:ascii="Nunito" w:hAnsi="Nunito" w:cs="Arial"/>
          <w:sz w:val="16"/>
          <w:szCs w:val="16"/>
        </w:rPr>
        <w:t xml:space="preserve"> La interpretación de la Relación Beneficio Costo (RBC) se describe a continuación</w:t>
      </w:r>
      <w:r>
        <w:rPr>
          <w:rFonts w:ascii="Nunito" w:hAnsi="Nunito" w:cs="Arial"/>
          <w:sz w:val="16"/>
          <w:szCs w:val="16"/>
        </w:rPr>
        <w:t>:</w:t>
      </w:r>
    </w:p>
    <w:p w14:paraId="7F498157" w14:textId="77777777" w:rsidR="002431CC" w:rsidRPr="0038757F" w:rsidRDefault="002431CC" w:rsidP="002431CC">
      <w:pPr>
        <w:pStyle w:val="FootnoteText"/>
        <w:rPr>
          <w:rFonts w:ascii="Nunito" w:hAnsi="Nunito" w:cs="Arial"/>
          <w:sz w:val="16"/>
          <w:szCs w:val="16"/>
        </w:rPr>
      </w:pPr>
      <w:r w:rsidRPr="0038757F">
        <w:rPr>
          <w:rFonts w:ascii="Nunito" w:hAnsi="Nunito" w:cs="Arial"/>
          <w:sz w:val="16"/>
          <w:szCs w:val="16"/>
        </w:rPr>
        <w:t>RBC&gt;1</w:t>
      </w:r>
      <w:r w:rsidRPr="0038757F">
        <w:rPr>
          <w:rFonts w:ascii="Nunito" w:hAnsi="Nunito" w:cs="Arial"/>
          <w:sz w:val="16"/>
          <w:szCs w:val="16"/>
        </w:rPr>
        <w:tab/>
        <w:t>Los beneficios de la aplicación del proyecto superan los costos, esto indica que el proyecto generará un aumento del valor percibido por la sociedad por variables socioambientales (desde la perspectiva socioambiental o un aumento del valor de los recursos invertidos (desde la perspectiva económica)</w:t>
      </w:r>
    </w:p>
    <w:p w14:paraId="41F3D1D4" w14:textId="77777777" w:rsidR="002431CC" w:rsidRPr="0038757F" w:rsidRDefault="002431CC" w:rsidP="002431CC">
      <w:pPr>
        <w:pStyle w:val="FootnoteText"/>
        <w:rPr>
          <w:rFonts w:ascii="Nunito" w:hAnsi="Nunito" w:cs="Arial"/>
          <w:sz w:val="16"/>
          <w:szCs w:val="16"/>
        </w:rPr>
      </w:pPr>
      <w:r w:rsidRPr="0038757F">
        <w:rPr>
          <w:rFonts w:ascii="Nunito" w:hAnsi="Nunito" w:cs="Arial"/>
          <w:sz w:val="16"/>
          <w:szCs w:val="16"/>
        </w:rPr>
        <w:t>RBC=1</w:t>
      </w:r>
      <w:r w:rsidRPr="0038757F">
        <w:rPr>
          <w:rFonts w:ascii="Nunito" w:hAnsi="Nunito" w:cs="Arial"/>
          <w:sz w:val="16"/>
          <w:szCs w:val="16"/>
        </w:rPr>
        <w:tab/>
        <w:t>Los beneficios y costos son iguales, por lo que un escenario de no aplicación del proyecto tiene el mismo efecto neto económico, social y ambiental que la aplicación del proyecto. En este caso debe reevaluarse la pertinencia del proyecto.</w:t>
      </w:r>
    </w:p>
    <w:p w14:paraId="41C58928" w14:textId="77777777" w:rsidR="002431CC" w:rsidRPr="000720A5" w:rsidRDefault="002431CC" w:rsidP="002431CC">
      <w:pPr>
        <w:pStyle w:val="FootnoteText"/>
      </w:pPr>
      <w:r w:rsidRPr="0038757F">
        <w:rPr>
          <w:rFonts w:ascii="Nunito" w:hAnsi="Nunito" w:cs="Arial"/>
          <w:sz w:val="16"/>
          <w:szCs w:val="16"/>
        </w:rPr>
        <w:t>RBC</w:t>
      </w:r>
      <w:r>
        <w:rPr>
          <w:rFonts w:ascii="Nunito" w:hAnsi="Nunito" w:cs="Arial"/>
          <w:sz w:val="16"/>
          <w:szCs w:val="16"/>
        </w:rPr>
        <w:t>&lt;</w:t>
      </w:r>
      <w:r w:rsidRPr="0038757F">
        <w:rPr>
          <w:rFonts w:ascii="Nunito" w:hAnsi="Nunito" w:cs="Arial"/>
          <w:sz w:val="16"/>
          <w:szCs w:val="16"/>
        </w:rPr>
        <w:t>1</w:t>
      </w:r>
      <w:r w:rsidRPr="0038757F">
        <w:rPr>
          <w:rFonts w:ascii="Nunito" w:hAnsi="Nunito" w:cs="Arial"/>
          <w:sz w:val="16"/>
          <w:szCs w:val="16"/>
        </w:rPr>
        <w:tab/>
        <w:t>Los costos son mayores que los beneficios, indicando que el proyecto empeora las condiciones socioambientales (desde la perspectiva socioambiental) y se genera un efecto negativo sobre el valor de los recursos invertidos.</w:t>
      </w:r>
    </w:p>
  </w:footnote>
  <w:footnote w:id="22">
    <w:p w14:paraId="522BA6E3" w14:textId="77777777" w:rsidR="002431CC" w:rsidRDefault="002431CC" w:rsidP="002431CC">
      <w:pPr>
        <w:pStyle w:val="FootnoteText"/>
      </w:pPr>
      <w:r>
        <w:rPr>
          <w:rStyle w:val="FootnoteReference"/>
        </w:rPr>
        <w:footnoteRef/>
      </w:r>
      <w:r>
        <w:t xml:space="preserve"> </w:t>
      </w:r>
      <w:r w:rsidRPr="009F6B39">
        <w:rPr>
          <w:rFonts w:ascii="Nunito" w:hAnsi="Nunito"/>
          <w:sz w:val="16"/>
          <w:szCs w:val="16"/>
        </w:rPr>
        <w:t>UPME, Resolución No. 000339 de 2022, “Por la cual se adopta el enfoque territorial en la actividad de planeación de la UPME y se establecen disposiciones sobre el Sistema de Información Socio Ambiental – SSA”</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C890677" w14:textId="57A552C6" w:rsidR="008C2198" w:rsidRDefault="00BC5D5A" w:rsidP="00661A92">
    <w:pPr>
      <w:pStyle w:val="Header"/>
      <w:jc w:val="right"/>
      <w:rPr>
        <w:rFonts w:ascii="Nunito" w:hAnsi="Nunito"/>
        <w:sz w:val="20"/>
        <w:szCs w:val="20"/>
      </w:rPr>
    </w:pPr>
    <w:r>
      <w:rPr>
        <w:rFonts w:ascii="Nunito" w:hAnsi="Nunito"/>
        <w:sz w:val="20"/>
        <w:szCs w:val="20"/>
      </w:rPr>
      <w:t>CASO DE ANÁLISIS</w:t>
    </w:r>
    <w:r w:rsidR="008C2198" w:rsidRPr="008C2198">
      <w:rPr>
        <w:rFonts w:ascii="Nunito" w:hAnsi="Nunito"/>
        <w:sz w:val="20"/>
        <w:szCs w:val="20"/>
      </w:rPr>
      <w:t xml:space="preserve"> </w:t>
    </w:r>
  </w:p>
  <w:p w14:paraId="1DC2CE65" w14:textId="52B1E902" w:rsidR="00961AE8" w:rsidRDefault="005A559B" w:rsidP="00661A92">
    <w:pPr>
      <w:pStyle w:val="Header"/>
      <w:jc w:val="right"/>
    </w:pPr>
    <w:r w:rsidRPr="00661A92">
      <w:rPr>
        <w:rFonts w:ascii="Nunito" w:hAnsi="Nunito"/>
        <w:noProof/>
        <w:sz w:val="20"/>
        <w:szCs w:val="20"/>
        <w:lang w:val="en-US"/>
      </w:rPr>
      <w:drawing>
        <wp:anchor distT="0" distB="0" distL="114300" distR="114300" simplePos="0" relativeHeight="251660288" behindDoc="0" locked="0" layoutInCell="1" allowOverlap="1" wp14:anchorId="0BE1EF00" wp14:editId="759A905D">
          <wp:simplePos x="0" y="0"/>
          <wp:positionH relativeFrom="margin">
            <wp:posOffset>1088679</wp:posOffset>
          </wp:positionH>
          <wp:positionV relativeFrom="margin">
            <wp:posOffset>-722630</wp:posOffset>
          </wp:positionV>
          <wp:extent cx="849630" cy="572135"/>
          <wp:effectExtent l="0" t="0" r="1270" b="0"/>
          <wp:wrapSquare wrapText="bothSides"/>
          <wp:docPr id="52422603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0098807" name=""/>
                  <pic:cNvPicPr/>
                </pic:nvPicPr>
                <pic:blipFill>
                  <a:blip r:embed="rId1">
                    <a:extLst>
                      <a:ext uri="{28A0092B-C50C-407E-A947-70E740481C1C}">
                        <a14:useLocalDpi xmlns:a14="http://schemas.microsoft.com/office/drawing/2010/main" val="0"/>
                      </a:ext>
                    </a:extLst>
                  </a:blip>
                  <a:stretch>
                    <a:fillRect/>
                  </a:stretch>
                </pic:blipFill>
                <pic:spPr>
                  <a:xfrm>
                    <a:off x="0" y="0"/>
                    <a:ext cx="849630" cy="572135"/>
                  </a:xfrm>
                  <a:prstGeom prst="rect">
                    <a:avLst/>
                  </a:prstGeom>
                </pic:spPr>
              </pic:pic>
            </a:graphicData>
          </a:graphic>
          <wp14:sizeRelH relativeFrom="margin">
            <wp14:pctWidth>0</wp14:pctWidth>
          </wp14:sizeRelH>
          <wp14:sizeRelV relativeFrom="margin">
            <wp14:pctHeight>0</wp14:pctHeight>
          </wp14:sizeRelV>
        </wp:anchor>
      </w:drawing>
    </w:r>
    <w:r w:rsidRPr="00661A92">
      <w:rPr>
        <w:rFonts w:ascii="Nunito" w:hAnsi="Nunito"/>
        <w:noProof/>
        <w:sz w:val="20"/>
        <w:szCs w:val="20"/>
        <w:lang w:val="en-US"/>
      </w:rPr>
      <w:drawing>
        <wp:anchor distT="0" distB="0" distL="114300" distR="114300" simplePos="0" relativeHeight="251661312" behindDoc="0" locked="0" layoutInCell="1" allowOverlap="1" wp14:anchorId="45A136EC" wp14:editId="54C4CE61">
          <wp:simplePos x="0" y="0"/>
          <wp:positionH relativeFrom="margin">
            <wp:posOffset>-91556</wp:posOffset>
          </wp:positionH>
          <wp:positionV relativeFrom="margin">
            <wp:posOffset>-784686</wp:posOffset>
          </wp:positionV>
          <wp:extent cx="1292860" cy="635635"/>
          <wp:effectExtent l="0" t="0" r="2540" b="0"/>
          <wp:wrapSquare wrapText="bothSides"/>
          <wp:docPr id="165018234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3524659" name=""/>
                  <pic:cNvPicPr/>
                </pic:nvPicPr>
                <pic:blipFill>
                  <a:blip r:embed="rId2">
                    <a:extLst>
                      <a:ext uri="{28A0092B-C50C-407E-A947-70E740481C1C}">
                        <a14:useLocalDpi xmlns:a14="http://schemas.microsoft.com/office/drawing/2010/main" val="0"/>
                      </a:ext>
                    </a:extLst>
                  </a:blip>
                  <a:stretch>
                    <a:fillRect/>
                  </a:stretch>
                </pic:blipFill>
                <pic:spPr>
                  <a:xfrm>
                    <a:off x="0" y="0"/>
                    <a:ext cx="1292860" cy="635635"/>
                  </a:xfrm>
                  <a:prstGeom prst="rect">
                    <a:avLst/>
                  </a:prstGeom>
                </pic:spPr>
              </pic:pic>
            </a:graphicData>
          </a:graphic>
        </wp:anchor>
      </w:drawing>
    </w:r>
    <w:r w:rsidR="00BC5D5A">
      <w:rPr>
        <w:rFonts w:ascii="Nunito" w:hAnsi="Nunito"/>
        <w:sz w:val="20"/>
        <w:szCs w:val="20"/>
      </w:rPr>
      <w:t>POLIDUCTO YUMBO-PASTO</w:t>
    </w:r>
    <w:r w:rsidRPr="00661A92">
      <w:rPr>
        <w:noProof/>
        <w:sz w:val="20"/>
        <w:szCs w:val="20"/>
        <w:lang w:val="en-US"/>
      </w:rPr>
      <w:drawing>
        <wp:anchor distT="0" distB="0" distL="114300" distR="114300" simplePos="0" relativeHeight="251659264" behindDoc="0" locked="0" layoutInCell="1" allowOverlap="1" wp14:anchorId="1D2E467E" wp14:editId="13530ECB">
          <wp:simplePos x="0" y="0"/>
          <wp:positionH relativeFrom="margin">
            <wp:posOffset>4348191</wp:posOffset>
          </wp:positionH>
          <wp:positionV relativeFrom="margin">
            <wp:posOffset>-332105</wp:posOffset>
          </wp:positionV>
          <wp:extent cx="1641308" cy="45719"/>
          <wp:effectExtent l="0" t="0" r="0" b="5715"/>
          <wp:wrapSquare wrapText="bothSides"/>
          <wp:docPr id="120475994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3342830" name=""/>
                  <pic:cNvPicPr/>
                </pic:nvPicPr>
                <pic:blipFill>
                  <a:blip r:embed="rId3">
                    <a:extLst>
                      <a:ext uri="{28A0092B-C50C-407E-A947-70E740481C1C}">
                        <a14:useLocalDpi xmlns:a14="http://schemas.microsoft.com/office/drawing/2010/main" val="0"/>
                      </a:ext>
                    </a:extLst>
                  </a:blip>
                  <a:stretch>
                    <a:fillRect/>
                  </a:stretch>
                </pic:blipFill>
                <pic:spPr>
                  <a:xfrm>
                    <a:off x="0" y="0"/>
                    <a:ext cx="1641308" cy="45719"/>
                  </a:xfrm>
                  <a:prstGeom prst="rect">
                    <a:avLst/>
                  </a:prstGeom>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E62532"/>
    <w:multiLevelType w:val="multilevel"/>
    <w:tmpl w:val="6BC6F1D6"/>
    <w:lvl w:ilvl="0">
      <w:start w:val="1"/>
      <w:numFmt w:val="decimal"/>
      <w:lvlText w:val="%1"/>
      <w:lvlJc w:val="left"/>
      <w:pPr>
        <w:ind w:left="588" w:hanging="588"/>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 w15:restartNumberingAfterBreak="0">
    <w:nsid w:val="03404FAB"/>
    <w:multiLevelType w:val="multilevel"/>
    <w:tmpl w:val="3B104CDE"/>
    <w:lvl w:ilvl="0">
      <w:start w:val="1"/>
      <w:numFmt w:val="decimal"/>
      <w:lvlText w:val="%1"/>
      <w:lvlJc w:val="left"/>
      <w:pPr>
        <w:ind w:left="645" w:hanging="645"/>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2" w15:restartNumberingAfterBreak="0">
    <w:nsid w:val="151A3597"/>
    <w:multiLevelType w:val="hybridMultilevel"/>
    <w:tmpl w:val="648833CA"/>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 w15:restartNumberingAfterBreak="0">
    <w:nsid w:val="1BD743E4"/>
    <w:multiLevelType w:val="hybridMultilevel"/>
    <w:tmpl w:val="65748A02"/>
    <w:lvl w:ilvl="0" w:tplc="240A0015">
      <w:start w:val="1"/>
      <w:numFmt w:val="upperLetter"/>
      <w:lvlText w:val="%1."/>
      <w:lvlJc w:val="left"/>
      <w:pPr>
        <w:ind w:left="720" w:hanging="360"/>
      </w:pPr>
      <w:rPr>
        <w:rFonts w:hint="default"/>
      </w:rPr>
    </w:lvl>
    <w:lvl w:ilvl="1" w:tplc="240A0019">
      <w:start w:val="1"/>
      <w:numFmt w:val="lowerLetter"/>
      <w:lvlText w:val="%2."/>
      <w:lvlJc w:val="left"/>
      <w:pPr>
        <w:ind w:left="1440" w:hanging="360"/>
      </w:pPr>
    </w:lvl>
    <w:lvl w:ilvl="2" w:tplc="240A001B">
      <w:start w:val="1"/>
      <w:numFmt w:val="lowerRoman"/>
      <w:lvlText w:val="%3."/>
      <w:lvlJc w:val="right"/>
      <w:pPr>
        <w:ind w:left="2160" w:hanging="180"/>
      </w:pPr>
    </w:lvl>
    <w:lvl w:ilvl="3" w:tplc="240A000F">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4" w15:restartNumberingAfterBreak="0">
    <w:nsid w:val="1D297519"/>
    <w:multiLevelType w:val="hybridMultilevel"/>
    <w:tmpl w:val="2F147604"/>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5" w15:restartNumberingAfterBreak="0">
    <w:nsid w:val="2C351770"/>
    <w:multiLevelType w:val="hybridMultilevel"/>
    <w:tmpl w:val="54A84A9E"/>
    <w:lvl w:ilvl="0" w:tplc="240A0019">
      <w:start w:val="2"/>
      <w:numFmt w:val="lowerLetter"/>
      <w:lvlText w:val="%1."/>
      <w:lvlJc w:val="left"/>
      <w:pPr>
        <w:ind w:left="720" w:hanging="360"/>
      </w:pPr>
      <w:rPr>
        <w:rFonts w:hint="default"/>
      </w:rPr>
    </w:lvl>
    <w:lvl w:ilvl="1" w:tplc="240A0019">
      <w:start w:val="1"/>
      <w:numFmt w:val="lowerLetter"/>
      <w:lvlText w:val="%2."/>
      <w:lvlJc w:val="left"/>
      <w:pPr>
        <w:ind w:left="1440" w:hanging="360"/>
      </w:pPr>
    </w:lvl>
    <w:lvl w:ilvl="2" w:tplc="240A001B">
      <w:start w:val="1"/>
      <w:numFmt w:val="lowerRoman"/>
      <w:lvlText w:val="%3."/>
      <w:lvlJc w:val="right"/>
      <w:pPr>
        <w:ind w:left="2160" w:hanging="180"/>
      </w:pPr>
    </w:lvl>
    <w:lvl w:ilvl="3" w:tplc="240A000F">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6" w15:restartNumberingAfterBreak="0">
    <w:nsid w:val="35287C8A"/>
    <w:multiLevelType w:val="hybridMultilevel"/>
    <w:tmpl w:val="2DD8237E"/>
    <w:lvl w:ilvl="0" w:tplc="FFFFFFFF">
      <w:start w:val="1"/>
      <w:numFmt w:val="bullet"/>
      <w:lvlText w:val=""/>
      <w:lvlJc w:val="left"/>
      <w:pPr>
        <w:ind w:left="720" w:hanging="360"/>
      </w:pPr>
      <w:rPr>
        <w:rFonts w:ascii="Symbol" w:hAnsi="Symbol" w:hint="default"/>
        <w:i/>
        <w:color w:val="C0CD0D"/>
        <w:sz w:val="40"/>
        <w:u w:color="193052"/>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7" w15:restartNumberingAfterBreak="0">
    <w:nsid w:val="3B4D361B"/>
    <w:multiLevelType w:val="multilevel"/>
    <w:tmpl w:val="3B883734"/>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145"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520" w:hanging="2160"/>
      </w:pPr>
      <w:rPr>
        <w:rFonts w:hint="default"/>
      </w:rPr>
    </w:lvl>
    <w:lvl w:ilvl="8">
      <w:start w:val="1"/>
      <w:numFmt w:val="decimal"/>
      <w:isLgl/>
      <w:lvlText w:val="%1.%2.%3.%4.%5.%6.%7.%8.%9."/>
      <w:lvlJc w:val="left"/>
      <w:pPr>
        <w:ind w:left="2520" w:hanging="2160"/>
      </w:pPr>
      <w:rPr>
        <w:rFonts w:hint="default"/>
      </w:rPr>
    </w:lvl>
  </w:abstractNum>
  <w:abstractNum w:abstractNumId="8" w15:restartNumberingAfterBreak="0">
    <w:nsid w:val="3F3F0B58"/>
    <w:multiLevelType w:val="hybridMultilevel"/>
    <w:tmpl w:val="B0D6A24E"/>
    <w:lvl w:ilvl="0" w:tplc="240A0015">
      <w:start w:val="1"/>
      <w:numFmt w:val="upperLetter"/>
      <w:lvlText w:val="%1."/>
      <w:lvlJc w:val="left"/>
      <w:pPr>
        <w:ind w:left="720" w:hanging="360"/>
      </w:pPr>
      <w:rPr>
        <w:rFonts w:hint="default"/>
      </w:rPr>
    </w:lvl>
    <w:lvl w:ilvl="1" w:tplc="240A0019">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9" w15:restartNumberingAfterBreak="0">
    <w:nsid w:val="42F45CF6"/>
    <w:multiLevelType w:val="multilevel"/>
    <w:tmpl w:val="4956E0A6"/>
    <w:lvl w:ilvl="0">
      <w:start w:val="1"/>
      <w:numFmt w:val="decimal"/>
      <w:lvlText w:val="%1."/>
      <w:lvlJc w:val="left"/>
      <w:pPr>
        <w:ind w:left="420" w:hanging="42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440" w:hanging="1440"/>
      </w:pPr>
      <w:rPr>
        <w:rFonts w:hint="default"/>
      </w:rPr>
    </w:lvl>
    <w:lvl w:ilvl="4">
      <w:start w:val="1"/>
      <w:numFmt w:val="decimal"/>
      <w:lvlText w:val="%1.%2.%3.%4.%5."/>
      <w:lvlJc w:val="left"/>
      <w:pPr>
        <w:ind w:left="1800" w:hanging="1800"/>
      </w:pPr>
      <w:rPr>
        <w:rFonts w:hint="default"/>
      </w:rPr>
    </w:lvl>
    <w:lvl w:ilvl="5">
      <w:start w:val="1"/>
      <w:numFmt w:val="decimal"/>
      <w:lvlText w:val="%1.%2.%3.%4.%5.%6."/>
      <w:lvlJc w:val="left"/>
      <w:pPr>
        <w:ind w:left="2160" w:hanging="2160"/>
      </w:pPr>
      <w:rPr>
        <w:rFonts w:hint="default"/>
      </w:rPr>
    </w:lvl>
    <w:lvl w:ilvl="6">
      <w:start w:val="1"/>
      <w:numFmt w:val="decimal"/>
      <w:lvlText w:val="%1.%2.%3.%4.%5.%6.%7."/>
      <w:lvlJc w:val="left"/>
      <w:pPr>
        <w:ind w:left="2520" w:hanging="2520"/>
      </w:pPr>
      <w:rPr>
        <w:rFonts w:hint="default"/>
      </w:rPr>
    </w:lvl>
    <w:lvl w:ilvl="7">
      <w:start w:val="1"/>
      <w:numFmt w:val="decimal"/>
      <w:lvlText w:val="%1.%2.%3.%4.%5.%6.%7.%8."/>
      <w:lvlJc w:val="left"/>
      <w:pPr>
        <w:ind w:left="2520" w:hanging="2520"/>
      </w:pPr>
      <w:rPr>
        <w:rFonts w:hint="default"/>
      </w:rPr>
    </w:lvl>
    <w:lvl w:ilvl="8">
      <w:start w:val="1"/>
      <w:numFmt w:val="decimal"/>
      <w:lvlText w:val="%1.%2.%3.%4.%5.%6.%7.%8.%9."/>
      <w:lvlJc w:val="left"/>
      <w:pPr>
        <w:ind w:left="2880" w:hanging="2880"/>
      </w:pPr>
      <w:rPr>
        <w:rFonts w:hint="default"/>
      </w:rPr>
    </w:lvl>
  </w:abstractNum>
  <w:abstractNum w:abstractNumId="10" w15:restartNumberingAfterBreak="0">
    <w:nsid w:val="433344CB"/>
    <w:multiLevelType w:val="multilevel"/>
    <w:tmpl w:val="D968ECF8"/>
    <w:lvl w:ilvl="0">
      <w:start w:val="1"/>
      <w:numFmt w:val="bullet"/>
      <w:lvlText w:val="●"/>
      <w:lvlJc w:val="left"/>
      <w:pPr>
        <w:ind w:left="720" w:hanging="360"/>
      </w:pPr>
      <w:rPr>
        <w:rFonts w:ascii="Noto Sans Symbols" w:eastAsia="Noto Sans Symbols" w:hAnsi="Noto Sans Symbols" w:cs="Noto Sans Symbols"/>
      </w:rPr>
    </w:lvl>
    <w:lvl w:ilvl="1">
      <w:numFmt w:val="bullet"/>
      <w:lvlText w:val="-"/>
      <w:lvlJc w:val="left"/>
      <w:pPr>
        <w:ind w:left="1440" w:hanging="360"/>
      </w:pPr>
      <w:rPr>
        <w:rFonts w:ascii="Arial Narrow" w:eastAsia="Arial Narrow" w:hAnsi="Arial Narrow" w:cs="Arial Narro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1" w15:restartNumberingAfterBreak="0">
    <w:nsid w:val="464C26D6"/>
    <w:multiLevelType w:val="multilevel"/>
    <w:tmpl w:val="3E1649F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2" w15:restartNumberingAfterBreak="0">
    <w:nsid w:val="476B07BD"/>
    <w:multiLevelType w:val="hybridMultilevel"/>
    <w:tmpl w:val="DCD69D50"/>
    <w:lvl w:ilvl="0" w:tplc="5A1EB47E">
      <w:start w:val="1"/>
      <w:numFmt w:val="bullet"/>
      <w:lvlText w:val="-"/>
      <w:lvlJc w:val="left"/>
      <w:pPr>
        <w:ind w:left="720" w:hanging="360"/>
      </w:pPr>
      <w:rPr>
        <w:rFonts w:ascii="Nunito" w:eastAsiaTheme="majorEastAsia" w:hAnsi="Nunito" w:cstheme="majorBidi"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3" w15:restartNumberingAfterBreak="0">
    <w:nsid w:val="4F3F7C5F"/>
    <w:multiLevelType w:val="multilevel"/>
    <w:tmpl w:val="8BF2537A"/>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14" w15:restartNumberingAfterBreak="0">
    <w:nsid w:val="54B8694E"/>
    <w:multiLevelType w:val="hybridMultilevel"/>
    <w:tmpl w:val="79841C0A"/>
    <w:lvl w:ilvl="0" w:tplc="51D03130">
      <w:start w:val="1"/>
      <w:numFmt w:val="lowerLetter"/>
      <w:lvlText w:val="%1."/>
      <w:lvlJc w:val="left"/>
      <w:pPr>
        <w:ind w:left="720" w:hanging="360"/>
      </w:pPr>
      <w:rPr>
        <w:rFonts w:hint="default"/>
        <w:u w:val="single"/>
      </w:rPr>
    </w:lvl>
    <w:lvl w:ilvl="1" w:tplc="240A0019">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5" w15:restartNumberingAfterBreak="0">
    <w:nsid w:val="56C511B9"/>
    <w:multiLevelType w:val="hybridMultilevel"/>
    <w:tmpl w:val="5DDAD146"/>
    <w:lvl w:ilvl="0" w:tplc="8B5606E2">
      <w:start w:val="3"/>
      <w:numFmt w:val="bullet"/>
      <w:lvlText w:val="-"/>
      <w:lvlJc w:val="left"/>
      <w:pPr>
        <w:ind w:left="720" w:hanging="360"/>
      </w:pPr>
      <w:rPr>
        <w:rFonts w:ascii="Arial" w:eastAsiaTheme="minorHAnsi" w:hAnsi="Arial" w:cs="Aria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6" w15:restartNumberingAfterBreak="0">
    <w:nsid w:val="5E52291B"/>
    <w:multiLevelType w:val="multilevel"/>
    <w:tmpl w:val="73DC1D8E"/>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3"/>
      <w:numFmt w:val="bullet"/>
      <w:lvlText w:val="-"/>
      <w:lvlJc w:val="left"/>
      <w:pPr>
        <w:ind w:left="1080" w:hanging="720"/>
      </w:pPr>
      <w:rPr>
        <w:rFonts w:ascii="Arial" w:eastAsiaTheme="minorHAnsi" w:hAnsi="Arial" w:cs="Arial"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17" w15:restartNumberingAfterBreak="0">
    <w:nsid w:val="61887A44"/>
    <w:multiLevelType w:val="multilevel"/>
    <w:tmpl w:val="AA88C324"/>
    <w:lvl w:ilvl="0">
      <w:start w:val="1"/>
      <w:numFmt w:val="decimal"/>
      <w:lvlText w:val="%1"/>
      <w:lvlJc w:val="left"/>
      <w:pPr>
        <w:ind w:left="588" w:hanging="588"/>
      </w:pPr>
      <w:rPr>
        <w:rFonts w:hint="default"/>
        <w:u w:val="none"/>
      </w:rPr>
    </w:lvl>
    <w:lvl w:ilvl="1">
      <w:start w:val="1"/>
      <w:numFmt w:val="decimal"/>
      <w:lvlText w:val="%1.%2"/>
      <w:lvlJc w:val="left"/>
      <w:pPr>
        <w:ind w:left="720" w:hanging="720"/>
      </w:pPr>
      <w:rPr>
        <w:rFonts w:hint="default"/>
        <w:u w:val="none"/>
      </w:rPr>
    </w:lvl>
    <w:lvl w:ilvl="2">
      <w:start w:val="2"/>
      <w:numFmt w:val="decimal"/>
      <w:lvlText w:val="%1.%2.%3"/>
      <w:lvlJc w:val="left"/>
      <w:pPr>
        <w:ind w:left="720" w:hanging="720"/>
      </w:pPr>
      <w:rPr>
        <w:rFonts w:hint="default"/>
        <w:u w:val="none"/>
      </w:rPr>
    </w:lvl>
    <w:lvl w:ilvl="3">
      <w:start w:val="1"/>
      <w:numFmt w:val="decimal"/>
      <w:lvlText w:val="%1.%2.%3.%4"/>
      <w:lvlJc w:val="left"/>
      <w:pPr>
        <w:ind w:left="1080" w:hanging="1080"/>
      </w:pPr>
      <w:rPr>
        <w:rFonts w:hint="default"/>
        <w:u w:val="none"/>
      </w:rPr>
    </w:lvl>
    <w:lvl w:ilvl="4">
      <w:start w:val="1"/>
      <w:numFmt w:val="decimal"/>
      <w:lvlText w:val="%1.%2.%3.%4.%5"/>
      <w:lvlJc w:val="left"/>
      <w:pPr>
        <w:ind w:left="1080" w:hanging="1080"/>
      </w:pPr>
      <w:rPr>
        <w:rFonts w:hint="default"/>
        <w:u w:val="none"/>
      </w:rPr>
    </w:lvl>
    <w:lvl w:ilvl="5">
      <w:start w:val="1"/>
      <w:numFmt w:val="decimal"/>
      <w:lvlText w:val="%1.%2.%3.%4.%5.%6"/>
      <w:lvlJc w:val="left"/>
      <w:pPr>
        <w:ind w:left="1440" w:hanging="1440"/>
      </w:pPr>
      <w:rPr>
        <w:rFonts w:hint="default"/>
        <w:u w:val="none"/>
      </w:rPr>
    </w:lvl>
    <w:lvl w:ilvl="6">
      <w:start w:val="1"/>
      <w:numFmt w:val="decimal"/>
      <w:lvlText w:val="%1.%2.%3.%4.%5.%6.%7"/>
      <w:lvlJc w:val="left"/>
      <w:pPr>
        <w:ind w:left="1800" w:hanging="1800"/>
      </w:pPr>
      <w:rPr>
        <w:rFonts w:hint="default"/>
        <w:u w:val="none"/>
      </w:rPr>
    </w:lvl>
    <w:lvl w:ilvl="7">
      <w:start w:val="1"/>
      <w:numFmt w:val="decimal"/>
      <w:lvlText w:val="%1.%2.%3.%4.%5.%6.%7.%8"/>
      <w:lvlJc w:val="left"/>
      <w:pPr>
        <w:ind w:left="1800" w:hanging="1800"/>
      </w:pPr>
      <w:rPr>
        <w:rFonts w:hint="default"/>
        <w:u w:val="none"/>
      </w:rPr>
    </w:lvl>
    <w:lvl w:ilvl="8">
      <w:start w:val="1"/>
      <w:numFmt w:val="decimal"/>
      <w:lvlText w:val="%1.%2.%3.%4.%5.%6.%7.%8.%9"/>
      <w:lvlJc w:val="left"/>
      <w:pPr>
        <w:ind w:left="2160" w:hanging="2160"/>
      </w:pPr>
      <w:rPr>
        <w:rFonts w:hint="default"/>
        <w:u w:val="none"/>
      </w:rPr>
    </w:lvl>
  </w:abstractNum>
  <w:abstractNum w:abstractNumId="18" w15:restartNumberingAfterBreak="0">
    <w:nsid w:val="6E074D9A"/>
    <w:multiLevelType w:val="multilevel"/>
    <w:tmpl w:val="8D36D3B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9" w15:restartNumberingAfterBreak="0">
    <w:nsid w:val="70913E4B"/>
    <w:multiLevelType w:val="multilevel"/>
    <w:tmpl w:val="AAA294A2"/>
    <w:lvl w:ilvl="0">
      <w:start w:val="1"/>
      <w:numFmt w:val="bullet"/>
      <w:lvlText w:val="●"/>
      <w:lvlJc w:val="left"/>
      <w:pPr>
        <w:ind w:left="786" w:hanging="360"/>
      </w:pPr>
      <w:rPr>
        <w:rFonts w:ascii="Noto Sans Symbols" w:eastAsia="Noto Sans Symbols" w:hAnsi="Noto Sans Symbols" w:cs="Noto Sans Symbols"/>
        <w:i/>
        <w:color w:val="C0CD0D"/>
        <w:sz w:val="22"/>
        <w:szCs w:val="22"/>
        <w:u w:val="none"/>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0" w15:restartNumberingAfterBreak="0">
    <w:nsid w:val="7462284D"/>
    <w:multiLevelType w:val="hybridMultilevel"/>
    <w:tmpl w:val="BA2E2AE4"/>
    <w:lvl w:ilvl="0" w:tplc="240A0015">
      <w:start w:val="1"/>
      <w:numFmt w:val="upperLetter"/>
      <w:lvlText w:val="%1."/>
      <w:lvlJc w:val="left"/>
      <w:pPr>
        <w:ind w:left="720" w:hanging="360"/>
      </w:pPr>
      <w:rPr>
        <w:rFonts w:hint="default"/>
      </w:rPr>
    </w:lvl>
    <w:lvl w:ilvl="1" w:tplc="240A0019">
      <w:start w:val="1"/>
      <w:numFmt w:val="lowerLetter"/>
      <w:lvlText w:val="%2."/>
      <w:lvlJc w:val="left"/>
      <w:pPr>
        <w:ind w:left="1440" w:hanging="360"/>
      </w:pPr>
    </w:lvl>
    <w:lvl w:ilvl="2" w:tplc="240A001B">
      <w:start w:val="1"/>
      <w:numFmt w:val="lowerRoman"/>
      <w:lvlText w:val="%3."/>
      <w:lvlJc w:val="right"/>
      <w:pPr>
        <w:ind w:left="2160" w:hanging="180"/>
      </w:pPr>
    </w:lvl>
    <w:lvl w:ilvl="3" w:tplc="240A000F">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num w:numId="1" w16cid:durableId="799956230">
    <w:abstractNumId w:val="7"/>
  </w:num>
  <w:num w:numId="2" w16cid:durableId="1225795108">
    <w:abstractNumId w:val="19"/>
  </w:num>
  <w:num w:numId="3" w16cid:durableId="1240869981">
    <w:abstractNumId w:val="6"/>
  </w:num>
  <w:num w:numId="4" w16cid:durableId="1673021403">
    <w:abstractNumId w:val="20"/>
  </w:num>
  <w:num w:numId="5" w16cid:durableId="1596212488">
    <w:abstractNumId w:val="17"/>
  </w:num>
  <w:num w:numId="6" w16cid:durableId="640113636">
    <w:abstractNumId w:val="0"/>
  </w:num>
  <w:num w:numId="7" w16cid:durableId="909849957">
    <w:abstractNumId w:val="3"/>
  </w:num>
  <w:num w:numId="8" w16cid:durableId="511997670">
    <w:abstractNumId w:val="5"/>
  </w:num>
  <w:num w:numId="9" w16cid:durableId="1166476123">
    <w:abstractNumId w:val="8"/>
  </w:num>
  <w:num w:numId="10" w16cid:durableId="1596674527">
    <w:abstractNumId w:val="4"/>
  </w:num>
  <w:num w:numId="11" w16cid:durableId="1693723444">
    <w:abstractNumId w:val="2"/>
  </w:num>
  <w:num w:numId="12" w16cid:durableId="425342185">
    <w:abstractNumId w:val="13"/>
  </w:num>
  <w:num w:numId="13" w16cid:durableId="1024676072">
    <w:abstractNumId w:val="9"/>
  </w:num>
  <w:num w:numId="14" w16cid:durableId="1180239949">
    <w:abstractNumId w:val="10"/>
  </w:num>
  <w:num w:numId="15" w16cid:durableId="2137604344">
    <w:abstractNumId w:val="11"/>
  </w:num>
  <w:num w:numId="16" w16cid:durableId="1104961219">
    <w:abstractNumId w:val="18"/>
  </w:num>
  <w:num w:numId="17" w16cid:durableId="889726074">
    <w:abstractNumId w:val="15"/>
  </w:num>
  <w:num w:numId="18" w16cid:durableId="588346683">
    <w:abstractNumId w:val="16"/>
  </w:num>
  <w:num w:numId="19" w16cid:durableId="967711025">
    <w:abstractNumId w:val="14"/>
  </w:num>
  <w:num w:numId="20" w16cid:durableId="594246079">
    <w:abstractNumId w:val="1"/>
  </w:num>
  <w:num w:numId="21" w16cid:durableId="1260869388">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6"/>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222E4"/>
    <w:rsid w:val="00053979"/>
    <w:rsid w:val="000708AF"/>
    <w:rsid w:val="000B3731"/>
    <w:rsid w:val="000B4E57"/>
    <w:rsid w:val="001635D5"/>
    <w:rsid w:val="00207A49"/>
    <w:rsid w:val="002431CC"/>
    <w:rsid w:val="00270401"/>
    <w:rsid w:val="00307FB0"/>
    <w:rsid w:val="00346B76"/>
    <w:rsid w:val="003776B1"/>
    <w:rsid w:val="004D3138"/>
    <w:rsid w:val="004D6EE3"/>
    <w:rsid w:val="0056508C"/>
    <w:rsid w:val="00567206"/>
    <w:rsid w:val="00580F54"/>
    <w:rsid w:val="005A559B"/>
    <w:rsid w:val="005E338B"/>
    <w:rsid w:val="005F1BF2"/>
    <w:rsid w:val="006653AB"/>
    <w:rsid w:val="007757AF"/>
    <w:rsid w:val="007F0B73"/>
    <w:rsid w:val="008015A5"/>
    <w:rsid w:val="00884F4A"/>
    <w:rsid w:val="008C2198"/>
    <w:rsid w:val="008C2760"/>
    <w:rsid w:val="008D06F6"/>
    <w:rsid w:val="008E75DF"/>
    <w:rsid w:val="008F6A34"/>
    <w:rsid w:val="008F6D38"/>
    <w:rsid w:val="00901A0C"/>
    <w:rsid w:val="00917E5F"/>
    <w:rsid w:val="00961AE8"/>
    <w:rsid w:val="009C5384"/>
    <w:rsid w:val="00A13A1C"/>
    <w:rsid w:val="00A5621C"/>
    <w:rsid w:val="00A56589"/>
    <w:rsid w:val="00AC5B74"/>
    <w:rsid w:val="00B123BF"/>
    <w:rsid w:val="00B140B2"/>
    <w:rsid w:val="00BC547D"/>
    <w:rsid w:val="00BC5D5A"/>
    <w:rsid w:val="00C075BF"/>
    <w:rsid w:val="00C160D1"/>
    <w:rsid w:val="00C222E4"/>
    <w:rsid w:val="00C67D11"/>
    <w:rsid w:val="00CA3271"/>
    <w:rsid w:val="00CB31A7"/>
    <w:rsid w:val="00D31060"/>
    <w:rsid w:val="00D56579"/>
    <w:rsid w:val="00D75CA6"/>
    <w:rsid w:val="00DF579E"/>
    <w:rsid w:val="00E12CF6"/>
    <w:rsid w:val="00EA0007"/>
    <w:rsid w:val="00EF1E33"/>
    <w:rsid w:val="00F00ECD"/>
    <w:rsid w:val="00F17026"/>
    <w:rsid w:val="00FA6B14"/>
    <w:rsid w:val="00FB0D65"/>
    <w:rsid w:val="00FC0034"/>
    <w:rsid w:val="00FC72DF"/>
    <w:rsid w:val="00FD4EA6"/>
    <w:rsid w:val="00FF67F5"/>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43EC752"/>
  <w15:chartTrackingRefBased/>
  <w15:docId w15:val="{39D28C92-A9E8-4EEC-9C69-9066C21779A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s-CO"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222E4"/>
    <w:pPr>
      <w:spacing w:line="278" w:lineRule="auto"/>
    </w:pPr>
    <w:rPr>
      <w:sz w:val="24"/>
      <w:szCs w:val="24"/>
      <w:lang w:val="es-ES"/>
    </w:rPr>
  </w:style>
  <w:style w:type="paragraph" w:styleId="Heading1">
    <w:name w:val="heading 1"/>
    <w:basedOn w:val="Normal"/>
    <w:next w:val="Normal"/>
    <w:link w:val="Heading1Char"/>
    <w:uiPriority w:val="9"/>
    <w:qFormat/>
    <w:rsid w:val="00C222E4"/>
    <w:pPr>
      <w:keepNext/>
      <w:keepLines/>
      <w:spacing w:before="360" w:after="80"/>
      <w:outlineLvl w:val="0"/>
    </w:pPr>
    <w:rPr>
      <w:rFonts w:asciiTheme="majorHAnsi" w:eastAsiaTheme="majorEastAsia" w:hAnsiTheme="majorHAnsi" w:cstheme="majorBidi"/>
      <w:color w:val="2E74B5" w:themeColor="accent1" w:themeShade="BF"/>
      <w:sz w:val="40"/>
      <w:szCs w:val="40"/>
    </w:rPr>
  </w:style>
  <w:style w:type="paragraph" w:styleId="Heading2">
    <w:name w:val="heading 2"/>
    <w:basedOn w:val="Normal"/>
    <w:next w:val="Normal"/>
    <w:link w:val="Heading2Char"/>
    <w:uiPriority w:val="9"/>
    <w:semiHidden/>
    <w:unhideWhenUsed/>
    <w:qFormat/>
    <w:rsid w:val="00C222E4"/>
    <w:pPr>
      <w:keepNext/>
      <w:keepLines/>
      <w:spacing w:before="160" w:after="80"/>
      <w:outlineLvl w:val="1"/>
    </w:pPr>
    <w:rPr>
      <w:rFonts w:asciiTheme="majorHAnsi" w:eastAsiaTheme="majorEastAsia" w:hAnsiTheme="majorHAnsi" w:cstheme="majorBidi"/>
      <w:color w:val="2E74B5" w:themeColor="accent1" w:themeShade="BF"/>
      <w:sz w:val="32"/>
      <w:szCs w:val="32"/>
    </w:rPr>
  </w:style>
  <w:style w:type="paragraph" w:styleId="Heading3">
    <w:name w:val="heading 3"/>
    <w:basedOn w:val="Normal"/>
    <w:next w:val="Normal"/>
    <w:link w:val="Heading3Char"/>
    <w:uiPriority w:val="9"/>
    <w:semiHidden/>
    <w:unhideWhenUsed/>
    <w:qFormat/>
    <w:rsid w:val="00C222E4"/>
    <w:pPr>
      <w:keepNext/>
      <w:keepLines/>
      <w:spacing w:before="160" w:after="80"/>
      <w:outlineLvl w:val="2"/>
    </w:pPr>
    <w:rPr>
      <w:rFonts w:eastAsiaTheme="majorEastAsia" w:cstheme="majorBidi"/>
      <w:color w:val="2E74B5" w:themeColor="accent1" w:themeShade="BF"/>
      <w:sz w:val="28"/>
      <w:szCs w:val="28"/>
    </w:rPr>
  </w:style>
  <w:style w:type="paragraph" w:styleId="Heading4">
    <w:name w:val="heading 4"/>
    <w:basedOn w:val="Normal"/>
    <w:next w:val="Normal"/>
    <w:link w:val="Heading4Char"/>
    <w:uiPriority w:val="9"/>
    <w:semiHidden/>
    <w:unhideWhenUsed/>
    <w:qFormat/>
    <w:rsid w:val="00C222E4"/>
    <w:pPr>
      <w:keepNext/>
      <w:keepLines/>
      <w:spacing w:before="80" w:after="40"/>
      <w:outlineLvl w:val="3"/>
    </w:pPr>
    <w:rPr>
      <w:rFonts w:eastAsiaTheme="majorEastAsia" w:cstheme="majorBidi"/>
      <w:i/>
      <w:iCs/>
      <w:color w:val="2E74B5" w:themeColor="accent1" w:themeShade="BF"/>
    </w:rPr>
  </w:style>
  <w:style w:type="paragraph" w:styleId="Heading5">
    <w:name w:val="heading 5"/>
    <w:basedOn w:val="Normal"/>
    <w:next w:val="Normal"/>
    <w:link w:val="Heading5Char"/>
    <w:uiPriority w:val="9"/>
    <w:semiHidden/>
    <w:unhideWhenUsed/>
    <w:qFormat/>
    <w:rsid w:val="00C222E4"/>
    <w:pPr>
      <w:keepNext/>
      <w:keepLines/>
      <w:spacing w:before="80" w:after="40"/>
      <w:outlineLvl w:val="4"/>
    </w:pPr>
    <w:rPr>
      <w:rFonts w:eastAsiaTheme="majorEastAsia" w:cstheme="majorBidi"/>
      <w:color w:val="2E74B5" w:themeColor="accent1" w:themeShade="BF"/>
    </w:rPr>
  </w:style>
  <w:style w:type="paragraph" w:styleId="Heading6">
    <w:name w:val="heading 6"/>
    <w:basedOn w:val="Normal"/>
    <w:next w:val="Normal"/>
    <w:link w:val="Heading6Char"/>
    <w:uiPriority w:val="9"/>
    <w:semiHidden/>
    <w:unhideWhenUsed/>
    <w:qFormat/>
    <w:rsid w:val="00C222E4"/>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C222E4"/>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C222E4"/>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C222E4"/>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C222E4"/>
    <w:rPr>
      <w:rFonts w:asciiTheme="majorHAnsi" w:eastAsiaTheme="majorEastAsia" w:hAnsiTheme="majorHAnsi" w:cstheme="majorBidi"/>
      <w:color w:val="2E74B5" w:themeColor="accent1" w:themeShade="BF"/>
      <w:sz w:val="40"/>
      <w:szCs w:val="40"/>
    </w:rPr>
  </w:style>
  <w:style w:type="character" w:customStyle="1" w:styleId="Heading2Char">
    <w:name w:val="Heading 2 Char"/>
    <w:basedOn w:val="DefaultParagraphFont"/>
    <w:link w:val="Heading2"/>
    <w:uiPriority w:val="9"/>
    <w:semiHidden/>
    <w:rsid w:val="00C222E4"/>
    <w:rPr>
      <w:rFonts w:asciiTheme="majorHAnsi" w:eastAsiaTheme="majorEastAsia" w:hAnsiTheme="majorHAnsi" w:cstheme="majorBidi"/>
      <w:color w:val="2E74B5" w:themeColor="accent1" w:themeShade="BF"/>
      <w:sz w:val="32"/>
      <w:szCs w:val="32"/>
    </w:rPr>
  </w:style>
  <w:style w:type="character" w:customStyle="1" w:styleId="Heading3Char">
    <w:name w:val="Heading 3 Char"/>
    <w:basedOn w:val="DefaultParagraphFont"/>
    <w:link w:val="Heading3"/>
    <w:uiPriority w:val="9"/>
    <w:semiHidden/>
    <w:rsid w:val="00C222E4"/>
    <w:rPr>
      <w:rFonts w:eastAsiaTheme="majorEastAsia" w:cstheme="majorBidi"/>
      <w:color w:val="2E74B5" w:themeColor="accent1" w:themeShade="BF"/>
      <w:sz w:val="28"/>
      <w:szCs w:val="28"/>
    </w:rPr>
  </w:style>
  <w:style w:type="character" w:customStyle="1" w:styleId="Heading4Char">
    <w:name w:val="Heading 4 Char"/>
    <w:basedOn w:val="DefaultParagraphFont"/>
    <w:link w:val="Heading4"/>
    <w:uiPriority w:val="9"/>
    <w:semiHidden/>
    <w:rsid w:val="00C222E4"/>
    <w:rPr>
      <w:rFonts w:eastAsiaTheme="majorEastAsia" w:cstheme="majorBidi"/>
      <w:i/>
      <w:iCs/>
      <w:color w:val="2E74B5" w:themeColor="accent1" w:themeShade="BF"/>
    </w:rPr>
  </w:style>
  <w:style w:type="character" w:customStyle="1" w:styleId="Heading5Char">
    <w:name w:val="Heading 5 Char"/>
    <w:basedOn w:val="DefaultParagraphFont"/>
    <w:link w:val="Heading5"/>
    <w:uiPriority w:val="9"/>
    <w:semiHidden/>
    <w:rsid w:val="00C222E4"/>
    <w:rPr>
      <w:rFonts w:eastAsiaTheme="majorEastAsia" w:cstheme="majorBidi"/>
      <w:color w:val="2E74B5" w:themeColor="accent1" w:themeShade="BF"/>
    </w:rPr>
  </w:style>
  <w:style w:type="character" w:customStyle="1" w:styleId="Heading6Char">
    <w:name w:val="Heading 6 Char"/>
    <w:basedOn w:val="DefaultParagraphFont"/>
    <w:link w:val="Heading6"/>
    <w:uiPriority w:val="9"/>
    <w:semiHidden/>
    <w:rsid w:val="00C222E4"/>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C222E4"/>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C222E4"/>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C222E4"/>
    <w:rPr>
      <w:rFonts w:eastAsiaTheme="majorEastAsia" w:cstheme="majorBidi"/>
      <w:color w:val="272727" w:themeColor="text1" w:themeTint="D8"/>
    </w:rPr>
  </w:style>
  <w:style w:type="paragraph" w:styleId="Title">
    <w:name w:val="Title"/>
    <w:basedOn w:val="Normal"/>
    <w:next w:val="Normal"/>
    <w:link w:val="TitleChar"/>
    <w:uiPriority w:val="10"/>
    <w:qFormat/>
    <w:rsid w:val="00C222E4"/>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C222E4"/>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C222E4"/>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C222E4"/>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C222E4"/>
    <w:pPr>
      <w:spacing w:before="160"/>
      <w:jc w:val="center"/>
    </w:pPr>
    <w:rPr>
      <w:i/>
      <w:iCs/>
      <w:color w:val="404040" w:themeColor="text1" w:themeTint="BF"/>
    </w:rPr>
  </w:style>
  <w:style w:type="character" w:customStyle="1" w:styleId="QuoteChar">
    <w:name w:val="Quote Char"/>
    <w:basedOn w:val="DefaultParagraphFont"/>
    <w:link w:val="Quote"/>
    <w:uiPriority w:val="29"/>
    <w:rsid w:val="00C222E4"/>
    <w:rPr>
      <w:i/>
      <w:iCs/>
      <w:color w:val="404040" w:themeColor="text1" w:themeTint="BF"/>
    </w:rPr>
  </w:style>
  <w:style w:type="paragraph" w:styleId="ListParagraph">
    <w:name w:val="List Paragraph"/>
    <w:aliases w:val="TITULO 2,Párrafo de tabla,Bolita,Guión,Párrafo de lista3,BOLA,Párrafo de lista21,Titulo 8,Párrafo de lista2,HOJA,Párrafo de lista5,Viñeta 2,Titulo1,items,BOLADEF,Chulito,Párrafo de lista31,BOLITA,Bola,SS-Articulos,Flor"/>
    <w:basedOn w:val="Normal"/>
    <w:link w:val="ListParagraphChar"/>
    <w:uiPriority w:val="34"/>
    <w:qFormat/>
    <w:rsid w:val="00C222E4"/>
    <w:pPr>
      <w:ind w:left="720"/>
      <w:contextualSpacing/>
    </w:pPr>
  </w:style>
  <w:style w:type="character" w:styleId="IntenseEmphasis">
    <w:name w:val="Intense Emphasis"/>
    <w:basedOn w:val="DefaultParagraphFont"/>
    <w:uiPriority w:val="21"/>
    <w:qFormat/>
    <w:rsid w:val="00C222E4"/>
    <w:rPr>
      <w:i/>
      <w:iCs/>
      <w:color w:val="2E74B5" w:themeColor="accent1" w:themeShade="BF"/>
    </w:rPr>
  </w:style>
  <w:style w:type="paragraph" w:styleId="IntenseQuote">
    <w:name w:val="Intense Quote"/>
    <w:basedOn w:val="Normal"/>
    <w:next w:val="Normal"/>
    <w:link w:val="IntenseQuoteChar"/>
    <w:uiPriority w:val="30"/>
    <w:qFormat/>
    <w:rsid w:val="00C222E4"/>
    <w:pPr>
      <w:pBdr>
        <w:top w:val="single" w:sz="4" w:space="10" w:color="2E74B5" w:themeColor="accent1" w:themeShade="BF"/>
        <w:bottom w:val="single" w:sz="4" w:space="10" w:color="2E74B5" w:themeColor="accent1" w:themeShade="BF"/>
      </w:pBdr>
      <w:spacing w:before="360" w:after="360"/>
      <w:ind w:left="864" w:right="864"/>
      <w:jc w:val="center"/>
    </w:pPr>
    <w:rPr>
      <w:i/>
      <w:iCs/>
      <w:color w:val="2E74B5" w:themeColor="accent1" w:themeShade="BF"/>
    </w:rPr>
  </w:style>
  <w:style w:type="character" w:customStyle="1" w:styleId="IntenseQuoteChar">
    <w:name w:val="Intense Quote Char"/>
    <w:basedOn w:val="DefaultParagraphFont"/>
    <w:link w:val="IntenseQuote"/>
    <w:uiPriority w:val="30"/>
    <w:rsid w:val="00C222E4"/>
    <w:rPr>
      <w:i/>
      <w:iCs/>
      <w:color w:val="2E74B5" w:themeColor="accent1" w:themeShade="BF"/>
    </w:rPr>
  </w:style>
  <w:style w:type="character" w:styleId="IntenseReference">
    <w:name w:val="Intense Reference"/>
    <w:basedOn w:val="DefaultParagraphFont"/>
    <w:uiPriority w:val="32"/>
    <w:qFormat/>
    <w:rsid w:val="00C222E4"/>
    <w:rPr>
      <w:b/>
      <w:bCs/>
      <w:smallCaps/>
      <w:color w:val="2E74B5" w:themeColor="accent1" w:themeShade="BF"/>
      <w:spacing w:val="5"/>
    </w:rPr>
  </w:style>
  <w:style w:type="paragraph" w:styleId="Header">
    <w:name w:val="header"/>
    <w:basedOn w:val="Normal"/>
    <w:link w:val="HeaderChar"/>
    <w:uiPriority w:val="99"/>
    <w:unhideWhenUsed/>
    <w:rsid w:val="00C222E4"/>
    <w:pPr>
      <w:tabs>
        <w:tab w:val="center" w:pos="4680"/>
        <w:tab w:val="right" w:pos="9360"/>
      </w:tabs>
      <w:spacing w:after="0" w:line="240" w:lineRule="auto"/>
    </w:pPr>
  </w:style>
  <w:style w:type="character" w:customStyle="1" w:styleId="HeaderChar">
    <w:name w:val="Header Char"/>
    <w:basedOn w:val="DefaultParagraphFont"/>
    <w:link w:val="Header"/>
    <w:uiPriority w:val="99"/>
    <w:rsid w:val="00C222E4"/>
    <w:rPr>
      <w:sz w:val="24"/>
      <w:szCs w:val="24"/>
      <w:lang w:val="es-ES"/>
    </w:rPr>
  </w:style>
  <w:style w:type="paragraph" w:styleId="Footer">
    <w:name w:val="footer"/>
    <w:basedOn w:val="Normal"/>
    <w:link w:val="FooterChar"/>
    <w:uiPriority w:val="99"/>
    <w:unhideWhenUsed/>
    <w:rsid w:val="00C222E4"/>
    <w:pPr>
      <w:tabs>
        <w:tab w:val="center" w:pos="4680"/>
        <w:tab w:val="right" w:pos="9360"/>
      </w:tabs>
      <w:spacing w:after="0" w:line="240" w:lineRule="auto"/>
    </w:pPr>
  </w:style>
  <w:style w:type="character" w:customStyle="1" w:styleId="FooterChar">
    <w:name w:val="Footer Char"/>
    <w:basedOn w:val="DefaultParagraphFont"/>
    <w:link w:val="Footer"/>
    <w:uiPriority w:val="99"/>
    <w:rsid w:val="00C222E4"/>
    <w:rPr>
      <w:sz w:val="24"/>
      <w:szCs w:val="24"/>
      <w:lang w:val="es-ES"/>
    </w:rPr>
  </w:style>
  <w:style w:type="character" w:styleId="Hyperlink">
    <w:name w:val="Hyperlink"/>
    <w:basedOn w:val="DefaultParagraphFont"/>
    <w:uiPriority w:val="99"/>
    <w:unhideWhenUsed/>
    <w:rsid w:val="00C222E4"/>
    <w:rPr>
      <w:color w:val="0563C1" w:themeColor="hyperlink"/>
      <w:u w:val="single"/>
    </w:rPr>
  </w:style>
  <w:style w:type="character" w:styleId="CommentReference">
    <w:name w:val="annotation reference"/>
    <w:basedOn w:val="DefaultParagraphFont"/>
    <w:uiPriority w:val="99"/>
    <w:semiHidden/>
    <w:unhideWhenUsed/>
    <w:rsid w:val="00C222E4"/>
    <w:rPr>
      <w:sz w:val="16"/>
      <w:szCs w:val="16"/>
    </w:rPr>
  </w:style>
  <w:style w:type="paragraph" w:styleId="FootnoteText">
    <w:name w:val="footnote text"/>
    <w:basedOn w:val="Normal"/>
    <w:link w:val="FootnoteTextChar"/>
    <w:uiPriority w:val="99"/>
    <w:unhideWhenUsed/>
    <w:rsid w:val="00C222E4"/>
    <w:pPr>
      <w:suppressAutoHyphens/>
      <w:spacing w:after="0" w:line="240" w:lineRule="auto"/>
    </w:pPr>
    <w:rPr>
      <w:rFonts w:ascii="Times New Roman" w:eastAsia="Times New Roman" w:hAnsi="Times New Roman" w:cs="Times New Roman"/>
      <w:kern w:val="0"/>
      <w:sz w:val="20"/>
      <w:szCs w:val="20"/>
      <w:lang w:eastAsia="es-ES"/>
      <w14:ligatures w14:val="none"/>
    </w:rPr>
  </w:style>
  <w:style w:type="character" w:customStyle="1" w:styleId="FootnoteTextChar">
    <w:name w:val="Footnote Text Char"/>
    <w:basedOn w:val="DefaultParagraphFont"/>
    <w:link w:val="FootnoteText"/>
    <w:uiPriority w:val="99"/>
    <w:rsid w:val="00C222E4"/>
    <w:rPr>
      <w:rFonts w:ascii="Times New Roman" w:eastAsia="Times New Roman" w:hAnsi="Times New Roman" w:cs="Times New Roman"/>
      <w:kern w:val="0"/>
      <w:sz w:val="20"/>
      <w:szCs w:val="20"/>
      <w:lang w:val="es-ES" w:eastAsia="es-ES"/>
      <w14:ligatures w14:val="none"/>
    </w:rPr>
  </w:style>
  <w:style w:type="character" w:styleId="FootnoteReference">
    <w:name w:val="footnote reference"/>
    <w:basedOn w:val="DefaultParagraphFont"/>
    <w:uiPriority w:val="99"/>
    <w:unhideWhenUsed/>
    <w:rsid w:val="00C222E4"/>
    <w:rPr>
      <w:vertAlign w:val="superscript"/>
    </w:rPr>
  </w:style>
  <w:style w:type="paragraph" w:styleId="CommentText">
    <w:name w:val="annotation text"/>
    <w:basedOn w:val="Normal"/>
    <w:link w:val="CommentTextChar"/>
    <w:uiPriority w:val="99"/>
    <w:unhideWhenUsed/>
    <w:rsid w:val="00C222E4"/>
    <w:pPr>
      <w:spacing w:after="0" w:line="240" w:lineRule="auto"/>
    </w:pPr>
    <w:rPr>
      <w:rFonts w:ascii="Big Caslon Medium" w:hAnsi="Big Caslon Medium" w:cs="Big Caslon Medium"/>
      <w:sz w:val="20"/>
      <w:szCs w:val="20"/>
      <w:lang w:val="es-CO"/>
    </w:rPr>
  </w:style>
  <w:style w:type="character" w:customStyle="1" w:styleId="CommentTextChar">
    <w:name w:val="Comment Text Char"/>
    <w:basedOn w:val="DefaultParagraphFont"/>
    <w:link w:val="CommentText"/>
    <w:uiPriority w:val="99"/>
    <w:rsid w:val="00C222E4"/>
    <w:rPr>
      <w:rFonts w:ascii="Big Caslon Medium" w:hAnsi="Big Caslon Medium" w:cs="Big Caslon Medium"/>
      <w:sz w:val="20"/>
      <w:szCs w:val="20"/>
    </w:rPr>
  </w:style>
  <w:style w:type="character" w:customStyle="1" w:styleId="ListParagraphChar">
    <w:name w:val="List Paragraph Char"/>
    <w:aliases w:val="TITULO 2 Char,Párrafo de tabla Char,Bolita Char,Guión Char,Párrafo de lista3 Char,BOLA Char,Párrafo de lista21 Char,Titulo 8 Char,Párrafo de lista2 Char,HOJA Char,Párrafo de lista5 Char,Viñeta 2 Char,Titulo1 Char,items Char,Bola Char"/>
    <w:basedOn w:val="DefaultParagraphFont"/>
    <w:link w:val="ListParagraph"/>
    <w:uiPriority w:val="34"/>
    <w:rsid w:val="00C222E4"/>
  </w:style>
  <w:style w:type="paragraph" w:styleId="Revision">
    <w:name w:val="Revision"/>
    <w:hidden/>
    <w:uiPriority w:val="99"/>
    <w:semiHidden/>
    <w:rsid w:val="00FC0034"/>
    <w:pPr>
      <w:spacing w:after="0" w:line="240" w:lineRule="auto"/>
    </w:pPr>
    <w:rPr>
      <w:sz w:val="24"/>
      <w:szCs w:val="24"/>
      <w:lang w:val="es-ES"/>
    </w:rPr>
  </w:style>
  <w:style w:type="character" w:styleId="UnresolvedMention">
    <w:name w:val="Unresolved Mention"/>
    <w:basedOn w:val="DefaultParagraphFont"/>
    <w:uiPriority w:val="99"/>
    <w:semiHidden/>
    <w:unhideWhenUsed/>
    <w:rsid w:val="00FC0034"/>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99828061">
      <w:bodyDiv w:val="1"/>
      <w:marLeft w:val="0"/>
      <w:marRight w:val="0"/>
      <w:marTop w:val="0"/>
      <w:marBottom w:val="0"/>
      <w:divBdr>
        <w:top w:val="none" w:sz="0" w:space="0" w:color="auto"/>
        <w:left w:val="none" w:sz="0" w:space="0" w:color="auto"/>
        <w:bottom w:val="none" w:sz="0" w:space="0" w:color="auto"/>
        <w:right w:val="none" w:sz="0" w:space="0" w:color="auto"/>
      </w:divBdr>
    </w:div>
    <w:div w:id="317618302">
      <w:bodyDiv w:val="1"/>
      <w:marLeft w:val="0"/>
      <w:marRight w:val="0"/>
      <w:marTop w:val="0"/>
      <w:marBottom w:val="0"/>
      <w:divBdr>
        <w:top w:val="none" w:sz="0" w:space="0" w:color="auto"/>
        <w:left w:val="none" w:sz="0" w:space="0" w:color="auto"/>
        <w:bottom w:val="none" w:sz="0" w:space="0" w:color="auto"/>
        <w:right w:val="none" w:sz="0" w:space="0" w:color="auto"/>
      </w:divBdr>
    </w:div>
    <w:div w:id="611941056">
      <w:bodyDiv w:val="1"/>
      <w:marLeft w:val="0"/>
      <w:marRight w:val="0"/>
      <w:marTop w:val="0"/>
      <w:marBottom w:val="0"/>
      <w:divBdr>
        <w:top w:val="none" w:sz="0" w:space="0" w:color="auto"/>
        <w:left w:val="none" w:sz="0" w:space="0" w:color="auto"/>
        <w:bottom w:val="none" w:sz="0" w:space="0" w:color="auto"/>
        <w:right w:val="none" w:sz="0" w:space="0" w:color="auto"/>
      </w:divBdr>
    </w:div>
    <w:div w:id="1085303103">
      <w:bodyDiv w:val="1"/>
      <w:marLeft w:val="0"/>
      <w:marRight w:val="0"/>
      <w:marTop w:val="0"/>
      <w:marBottom w:val="0"/>
      <w:divBdr>
        <w:top w:val="none" w:sz="0" w:space="0" w:color="auto"/>
        <w:left w:val="none" w:sz="0" w:space="0" w:color="auto"/>
        <w:bottom w:val="none" w:sz="0" w:space="0" w:color="auto"/>
        <w:right w:val="none" w:sz="0" w:space="0" w:color="auto"/>
      </w:divBdr>
    </w:div>
    <w:div w:id="1205026613">
      <w:bodyDiv w:val="1"/>
      <w:marLeft w:val="0"/>
      <w:marRight w:val="0"/>
      <w:marTop w:val="0"/>
      <w:marBottom w:val="0"/>
      <w:divBdr>
        <w:top w:val="none" w:sz="0" w:space="0" w:color="auto"/>
        <w:left w:val="none" w:sz="0" w:space="0" w:color="auto"/>
        <w:bottom w:val="none" w:sz="0" w:space="0" w:color="auto"/>
        <w:right w:val="none" w:sz="0" w:space="0" w:color="auto"/>
      </w:divBdr>
    </w:div>
    <w:div w:id="1642421026">
      <w:bodyDiv w:val="1"/>
      <w:marLeft w:val="0"/>
      <w:marRight w:val="0"/>
      <w:marTop w:val="0"/>
      <w:marBottom w:val="0"/>
      <w:divBdr>
        <w:top w:val="none" w:sz="0" w:space="0" w:color="auto"/>
        <w:left w:val="none" w:sz="0" w:space="0" w:color="auto"/>
        <w:bottom w:val="none" w:sz="0" w:space="0" w:color="auto"/>
        <w:right w:val="none" w:sz="0" w:space="0" w:color="auto"/>
      </w:divBdr>
    </w:div>
    <w:div w:id="18843660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0" Type="http://schemas.openxmlformats.org/officeDocument/2006/relationships/image" Target="media/image3.emf"/><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theme" Target="theme/theme1.xml"/></Relationships>
</file>

<file path=word/_rels/footnotes.xml.rels><?xml version="1.0" encoding="UTF-8" standalone="yes"?>
<Relationships xmlns="http://schemas.openxmlformats.org/package/2006/relationships"><Relationship Id="rId2" Type="http://schemas.openxmlformats.org/officeDocument/2006/relationships/hyperlink" Target="https://www1.upme.gov.co/sipg/Publicaciones_SIPG/Analisis_de_entorno_Yumbo_Pasto_2023.pdf" TargetMode="External"/><Relationship Id="rId1" Type="http://schemas.openxmlformats.org/officeDocument/2006/relationships/hyperlink" Target="https://www.gasnova.co/informes-estadisticos/" TargetMode="External"/></Relationships>
</file>

<file path=word/_rels/header1.xml.rels><?xml version="1.0" encoding="UTF-8" standalone="yes"?>
<Relationships xmlns="http://schemas.openxmlformats.org/package/2006/relationships"><Relationship Id="rId3" Type="http://schemas.openxmlformats.org/officeDocument/2006/relationships/image" Target="media/image6.png"/><Relationship Id="rId2" Type="http://schemas.openxmlformats.org/officeDocument/2006/relationships/image" Target="media/image5.png"/><Relationship Id="rId1" Type="http://schemas.openxmlformats.org/officeDocument/2006/relationships/image" Target="media/image4.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D0F75D9-E9F7-4AC8-B549-65AB01C8648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17</Pages>
  <Words>4441</Words>
  <Characters>25320</Characters>
  <Application>Microsoft Office Word</Application>
  <DocSecurity>0</DocSecurity>
  <Lines>211</Lines>
  <Paragraphs>59</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29702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Cesar Pineda</dc:creator>
  <cp:keywords/>
  <dc:description/>
  <cp:lastModifiedBy>Nashla Gonzalez Cleves</cp:lastModifiedBy>
  <cp:revision>2</cp:revision>
  <dcterms:created xsi:type="dcterms:W3CDTF">2025-04-05T03:27:00Z</dcterms:created>
  <dcterms:modified xsi:type="dcterms:W3CDTF">2025-04-05T03:27:00Z</dcterms:modified>
</cp:coreProperties>
</file>